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残疾人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康复服务定点评估机构申请审批表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924"/>
        <w:gridCol w:w="831"/>
        <w:gridCol w:w="1544"/>
        <w:gridCol w:w="895"/>
        <w:gridCol w:w="522"/>
        <w:gridCol w:w="963"/>
        <w:gridCol w:w="936"/>
        <w:gridCol w:w="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机构代码</w:t>
            </w:r>
          </w:p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（机构登记证号码）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主管部门</w:t>
            </w:r>
          </w:p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（审批机关）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性质</w:t>
            </w:r>
          </w:p>
        </w:tc>
        <w:tc>
          <w:tcPr>
            <w:tcW w:w="6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□公办（□残联 □卫生 □教育  □民政 □其他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□非公办（□民办公助 □民办非企业类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□社会组织 □民办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□工商类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 xml:space="preserve">）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机构资质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□医疗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□教育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 xml:space="preserve">□其他     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评估人员数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服务场地面积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年服务人数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从事评估人员类别（人）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评估上岗</w:t>
            </w:r>
          </w:p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资格（人）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初级以上职称数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评估</w:t>
            </w:r>
          </w:p>
          <w:p>
            <w:pPr>
              <w:jc w:val="center"/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构成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 xml:space="preserve"> 生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医技人员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康复治疗师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康复工程师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康复（特、幼）教师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心理学专业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社  工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 xml:space="preserve"> 他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 xml:space="preserve">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已开展的评估项目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评估</w:t>
            </w:r>
          </w:p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听障康复评估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肢体（脑瘫）康复评估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智障康复评估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精神障碍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（含孤独症）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康复评估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视障康复评估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专家组意见（是否符合准入标准）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400" w:lineRule="exact"/>
              <w:ind w:firstLine="6360" w:firstLineChars="2650"/>
              <w:rPr>
                <w:rFonts w:ascii="楷体" w:hAnsi="楷体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  <w:t xml:space="preserve">          </w:t>
            </w:r>
          </w:p>
          <w:p>
            <w:pPr>
              <w:wordWrap w:val="0"/>
              <w:spacing w:line="400" w:lineRule="exact"/>
              <w:ind w:firstLine="1920" w:firstLineChars="800"/>
              <w:jc w:val="right"/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spacing w:line="400" w:lineRule="exact"/>
              <w:ind w:firstLine="1920" w:firstLineChars="800"/>
              <w:jc w:val="right"/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1920" w:firstLineChars="800"/>
              <w:jc w:val="center"/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  <w:t>负责人签字：           （盖章）年   月    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  <w:p>
            <w:pPr>
              <w:wordWrap w:val="0"/>
              <w:spacing w:line="400" w:lineRule="exact"/>
              <w:ind w:firstLine="1920" w:firstLineChars="800"/>
              <w:jc w:val="right"/>
              <w:rPr>
                <w:rFonts w:ascii="楷体" w:hAnsi="楷体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  <w:t>本级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  <w:t>残联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right"/>
              <w:rPr>
                <w:rFonts w:ascii="楷体" w:hAnsi="楷体" w:eastAsia="楷体" w:cs="Times New Roman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6240" w:firstLineChars="2600"/>
              <w:jc w:val="right"/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6240" w:firstLineChars="2600"/>
              <w:jc w:val="right"/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spacing w:line="400" w:lineRule="exact"/>
              <w:ind w:firstLine="1920" w:firstLineChars="800"/>
              <w:jc w:val="right"/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1920" w:firstLineChars="800"/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  <w:t xml:space="preserve">负责人签字：         （盖章）年   月    日   </w:t>
            </w:r>
          </w:p>
          <w:p>
            <w:pPr>
              <w:wordWrap w:val="0"/>
              <w:spacing w:line="400" w:lineRule="exact"/>
              <w:ind w:firstLine="1920" w:firstLineChars="800"/>
              <w:jc w:val="right"/>
              <w:rPr>
                <w:rFonts w:ascii="楷体" w:hAnsi="楷体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</w:rPr>
              <w:t xml:space="preserve">   </w:t>
            </w:r>
          </w:p>
        </w:tc>
      </w:tr>
    </w:tbl>
    <w:p>
      <w:pPr>
        <w:spacing w:line="500" w:lineRule="exact"/>
        <w:rPr>
          <w:rFonts w:ascii="仿宋_GB2312" w:hAnsi="仿宋" w:eastAsia="仿宋_GB2312" w:cs="Times New Roman"/>
          <w:color w:val="auto"/>
          <w:sz w:val="24"/>
          <w:szCs w:val="24"/>
        </w:rPr>
      </w:pP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>说明：1.“专家组意见”栏由当地残联组织专家评审后填写；</w:t>
      </w:r>
    </w:p>
    <w:p>
      <w:pPr>
        <w:spacing w:line="500" w:lineRule="exact"/>
      </w:pP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 xml:space="preserve">      2.“主管部门意见”栏：没有主管部门的机构不需要填写。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E17F7"/>
    <w:rsid w:val="60A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2021-02-04T08:29:00Z</dcterms:created>
  <dc:creator>katapepaiderastekenai</dc:creator>
  <cp:lastModifiedBy>katapepaiderastekenai</cp:lastModifiedBy>
  <dcterms:modified xsi:type="dcterms:W3CDTF">2021-02-04T08:30:12Z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