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15985" w14:textId="77777777" w:rsidR="005E61CE" w:rsidRDefault="005E61CE" w:rsidP="005E61CE">
      <w:pPr>
        <w:widowControl/>
        <w:shd w:val="clear" w:color="auto" w:fill="FFFFFF"/>
        <w:spacing w:line="560" w:lineRule="exact"/>
        <w:jc w:val="left"/>
        <w:outlineLvl w:val="2"/>
        <w:rPr>
          <w:rFonts w:ascii="黑体" w:eastAsia="黑体" w:hAnsi="黑体" w:cs="黑体" w:hint="eastAsia"/>
          <w:bCs/>
          <w:w w:val="95"/>
          <w:kern w:val="0"/>
          <w:sz w:val="32"/>
          <w:szCs w:val="32"/>
        </w:rPr>
      </w:pPr>
      <w:r>
        <w:rPr>
          <w:rFonts w:ascii="黑体" w:eastAsia="黑体" w:hAnsi="黑体" w:cs="黑体" w:hint="eastAsia"/>
          <w:bCs/>
          <w:w w:val="95"/>
          <w:kern w:val="0"/>
          <w:sz w:val="32"/>
          <w:szCs w:val="32"/>
        </w:rPr>
        <w:t>附件1</w:t>
      </w:r>
    </w:p>
    <w:p w14:paraId="18340149" w14:textId="77777777" w:rsidR="005E61CE" w:rsidRDefault="005E61CE" w:rsidP="005E61CE">
      <w:pPr>
        <w:widowControl/>
        <w:shd w:val="clear" w:color="auto" w:fill="FFFFFF"/>
        <w:spacing w:line="560" w:lineRule="exact"/>
        <w:jc w:val="left"/>
        <w:outlineLvl w:val="2"/>
        <w:rPr>
          <w:rFonts w:ascii="黑体" w:eastAsia="黑体" w:hAnsi="黑体" w:cs="黑体" w:hint="eastAsia"/>
          <w:bCs/>
          <w:w w:val="95"/>
          <w:kern w:val="0"/>
          <w:sz w:val="32"/>
          <w:szCs w:val="32"/>
        </w:rPr>
      </w:pPr>
    </w:p>
    <w:p w14:paraId="1E220951" w14:textId="77777777" w:rsidR="005E61CE" w:rsidRDefault="005E61CE" w:rsidP="005E61CE">
      <w:pPr>
        <w:pStyle w:val="a3"/>
        <w:snapToGrid w:val="0"/>
        <w:spacing w:beforeLines="50" w:before="156" w:afterLines="50" w:after="156" w:line="560" w:lineRule="exact"/>
        <w:rPr>
          <w:rFonts w:ascii="方正小标宋简体" w:eastAsia="方正小标宋简体" w:hAnsi="方正小标宋简体" w:cs="方正小标宋简体" w:hint="eastAsia"/>
          <w:b w:val="0"/>
          <w:bCs w:val="0"/>
          <w:w w:val="95"/>
          <w:sz w:val="44"/>
          <w:szCs w:val="44"/>
        </w:rPr>
      </w:pPr>
      <w:r>
        <w:rPr>
          <w:rFonts w:ascii="方正小标宋简体" w:eastAsia="方正小标宋简体" w:hAnsi="方正小标宋简体" w:cs="方正小标宋简体" w:hint="eastAsia"/>
          <w:b w:val="0"/>
          <w:bCs w:val="0"/>
          <w:sz w:val="44"/>
          <w:szCs w:val="44"/>
        </w:rPr>
        <w:t>无障碍专项评测验收（场馆）</w:t>
      </w:r>
      <w:r>
        <w:rPr>
          <w:rFonts w:ascii="方正小标宋简体" w:eastAsia="方正小标宋简体" w:hAnsi="方正小标宋简体" w:cs="方正小标宋简体" w:hint="eastAsia"/>
          <w:b w:val="0"/>
          <w:bCs w:val="0"/>
          <w:color w:val="000000"/>
          <w:sz w:val="44"/>
          <w:szCs w:val="44"/>
        </w:rPr>
        <w:t>项目</w:t>
      </w:r>
      <w:r>
        <w:rPr>
          <w:rFonts w:ascii="方正小标宋简体" w:eastAsia="方正小标宋简体" w:hAnsi="方正小标宋简体" w:cs="方正小标宋简体" w:hint="eastAsia"/>
          <w:b w:val="0"/>
          <w:bCs w:val="0"/>
          <w:w w:val="95"/>
          <w:sz w:val="44"/>
          <w:szCs w:val="44"/>
        </w:rPr>
        <w:t>采购需求</w:t>
      </w:r>
    </w:p>
    <w:p w14:paraId="1ACC19F5" w14:textId="77777777" w:rsidR="005E61CE" w:rsidRDefault="005E61CE" w:rsidP="005E61CE">
      <w:pPr>
        <w:widowControl/>
        <w:shd w:val="clear" w:color="auto" w:fill="FFFFFF"/>
        <w:spacing w:line="560" w:lineRule="exact"/>
        <w:jc w:val="center"/>
        <w:outlineLvl w:val="2"/>
        <w:rPr>
          <w:rFonts w:ascii="宋体" w:hAnsi="宋体" w:cs="宋体" w:hint="eastAsia"/>
          <w:b/>
          <w:w w:val="95"/>
          <w:kern w:val="0"/>
          <w:sz w:val="44"/>
          <w:szCs w:val="44"/>
        </w:rPr>
      </w:pPr>
    </w:p>
    <w:p w14:paraId="230C81F4"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一、采购项目概况</w:t>
      </w:r>
    </w:p>
    <w:p w14:paraId="31E23F17" w14:textId="77777777" w:rsidR="005E61CE" w:rsidRDefault="005E61CE" w:rsidP="005E61CE">
      <w:pPr>
        <w:tabs>
          <w:tab w:val="left" w:pos="851"/>
        </w:tabs>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为落实十五运会和残</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奥会深圳赛区场馆无障碍建设，提升我市无障碍环境。根据《十五运会和残特奥会深圳赛区比赛项目及场馆布局情况一览表》，深圳赛区共有25个场馆，除十五运会群众项目场馆外，其他19个场馆+1闭幕式场馆+1深圳棋院，共计21个场馆需要进行无障碍专项评测验收，需组织包括各类残疾人、无障碍督导技术人员的无障碍评测队伍，进行评测并出具相关报告。</w:t>
      </w:r>
    </w:p>
    <w:p w14:paraId="4F9B19D7"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二、项目管理和服务要求</w:t>
      </w:r>
    </w:p>
    <w:p w14:paraId="0C3B27B2" w14:textId="77777777" w:rsidR="005E61CE" w:rsidRDefault="005E61CE" w:rsidP="005E61CE">
      <w:pPr>
        <w:tabs>
          <w:tab w:val="left" w:pos="851"/>
        </w:tabs>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（一）组织开展21个场馆无障碍设施评测并出具报告21份，每个场馆分2个小组，每组包含2名专业技术人员、1名具备无障碍体验经验的残疾人代表，合计6人。</w:t>
      </w:r>
    </w:p>
    <w:p w14:paraId="546EA24B" w14:textId="77777777" w:rsidR="005E61CE" w:rsidRDefault="005E61CE" w:rsidP="005E61CE">
      <w:pPr>
        <w:tabs>
          <w:tab w:val="left" w:pos="851"/>
        </w:tabs>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（二）组织信息无障碍专业人员对21个场馆的信息无障碍进行评测，撰写信息无障碍报告共21份，报告内容包括问题清单和建议整改方案。</w:t>
      </w:r>
    </w:p>
    <w:p w14:paraId="3354EDCA" w14:textId="77777777" w:rsidR="005E61CE" w:rsidRDefault="005E61CE" w:rsidP="005E61CE">
      <w:pPr>
        <w:tabs>
          <w:tab w:val="left" w:pos="851"/>
        </w:tabs>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（三）组织评测人员培训，让评测人员掌握现行工作文件、法律法规、规范标准等相关评测知识、技能、流程，组织1场培训。</w:t>
      </w:r>
    </w:p>
    <w:p w14:paraId="5C33305A" w14:textId="77777777" w:rsidR="005E61CE" w:rsidRDefault="005E61CE" w:rsidP="005E61CE">
      <w:pPr>
        <w:tabs>
          <w:tab w:val="left" w:pos="851"/>
        </w:tabs>
        <w:spacing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（四）组织4名无障碍领域专家分成2组在项目开展过程中进行总体指导，一组负责无障碍设施指导咨询，一组负</w:t>
      </w:r>
      <w:r>
        <w:rPr>
          <w:rFonts w:ascii="仿宋_GB2312" w:eastAsia="仿宋_GB2312" w:hAnsi="仿宋_GB2312" w:cs="仿宋_GB2312" w:hint="eastAsia"/>
          <w:sz w:val="32"/>
          <w:szCs w:val="32"/>
        </w:rPr>
        <w:lastRenderedPageBreak/>
        <w:t>责信息无障碍指导咨询，并在项目完成后，组织3名专家对项目总成果进行评审。</w:t>
      </w:r>
      <w:r>
        <w:rPr>
          <w:rFonts w:ascii="仿宋_GB2312" w:eastAsia="仿宋_GB2312" w:hAnsi="仿宋_GB2312" w:cs="仿宋_GB2312" w:hint="eastAsia"/>
          <w:sz w:val="32"/>
          <w:szCs w:val="32"/>
        </w:rPr>
        <w:br/>
        <w:t xml:space="preserve">    （五）赛期内做好重点区域无障碍设施巡查工作，及时发现问题，配合深圳赛区执委会督促各相关责任单位做好无障碍设施维护管理工作，为赛事举办提供无障碍设施持续性和安全性保障。</w:t>
      </w:r>
    </w:p>
    <w:p w14:paraId="32D2E1F6"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三、供应商资格要求</w:t>
      </w:r>
    </w:p>
    <w:p w14:paraId="5F33581B"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1.投标人须符合《中华人民共和国政府采购法》第二十二条第一款的规定。</w:t>
      </w:r>
    </w:p>
    <w:p w14:paraId="4FC7F76C"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（1）具有独立承担民事责任的能力；</w:t>
      </w:r>
    </w:p>
    <w:p w14:paraId="456BCE7D"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（2）具有履行合同所必需的设备和专业技术能力；</w:t>
      </w:r>
    </w:p>
    <w:p w14:paraId="53DD6C99"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（3）有依法缴纳税收和社会保障资金的良好记录；</w:t>
      </w:r>
    </w:p>
    <w:p w14:paraId="709C0597"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（4）</w:t>
      </w:r>
      <w:r>
        <w:rPr>
          <w:rFonts w:ascii="仿宋_GB2312" w:eastAsia="仿宋_GB2312"/>
          <w:spacing w:val="-2"/>
          <w:w w:val="95"/>
          <w:sz w:val="32"/>
          <w:szCs w:val="32"/>
        </w:rPr>
        <w:t>参加政府采购活动前三年内，在经营活动中没有重大违法记录。</w:t>
      </w:r>
    </w:p>
    <w:p w14:paraId="2C8F7428"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szCs w:val="32"/>
        </w:rPr>
        <w:t>2.</w:t>
      </w:r>
      <w:r>
        <w:rPr>
          <w:rFonts w:ascii="仿宋_GB2312" w:eastAsia="仿宋_GB2312"/>
          <w:spacing w:val="-2"/>
          <w:w w:val="95"/>
          <w:sz w:val="32"/>
        </w:rPr>
        <w:t>本项目不接受联合体投标，不允许将项目分包或转包。</w:t>
      </w:r>
    </w:p>
    <w:p w14:paraId="1667F794" w14:textId="77777777" w:rsidR="005E61CE" w:rsidRDefault="005E61CE" w:rsidP="005E61CE">
      <w:pPr>
        <w:spacing w:line="560" w:lineRule="exact"/>
        <w:ind w:firstLineChars="200" w:firstLine="597"/>
        <w:rPr>
          <w:rFonts w:ascii="仿宋_GB2312" w:eastAsia="仿宋_GB2312"/>
          <w:spacing w:val="-2"/>
          <w:w w:val="95"/>
        </w:rPr>
      </w:pPr>
      <w:r>
        <w:rPr>
          <w:rFonts w:ascii="仿宋_GB2312" w:eastAsia="仿宋_GB2312" w:hint="eastAsia"/>
          <w:spacing w:val="-2"/>
          <w:w w:val="95"/>
          <w:sz w:val="32"/>
        </w:rPr>
        <w:t>3.投标人</w:t>
      </w:r>
      <w:r>
        <w:rPr>
          <w:rFonts w:ascii="仿宋_GB2312" w:eastAsia="仿宋_GB2312"/>
          <w:spacing w:val="-2"/>
          <w:w w:val="95"/>
          <w:sz w:val="32"/>
        </w:rPr>
        <w:t>应自觉抵制商业贿赂行为，投标人到中标公告期结束前三年内无行贿犯罪记录</w:t>
      </w:r>
      <w:r>
        <w:rPr>
          <w:rFonts w:ascii="仿宋_GB2312" w:eastAsia="仿宋_GB2312" w:hint="eastAsia"/>
          <w:spacing w:val="-2"/>
          <w:w w:val="95"/>
          <w:sz w:val="32"/>
        </w:rPr>
        <w:t>。</w:t>
      </w:r>
    </w:p>
    <w:p w14:paraId="2D91A276"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4.</w:t>
      </w:r>
      <w:r>
        <w:rPr>
          <w:rFonts w:ascii="仿宋_GB2312" w:eastAsia="仿宋_GB2312"/>
          <w:spacing w:val="-2"/>
          <w:w w:val="94"/>
          <w:sz w:val="32"/>
        </w:rPr>
        <w:t>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14:paraId="47125D76"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605"/>
        <w:rPr>
          <w:rFonts w:ascii="仿宋_GB2312" w:eastAsia="仿宋_GB2312" w:hint="default"/>
          <w:spacing w:val="-2"/>
          <w:w w:val="95"/>
          <w:sz w:val="32"/>
        </w:rPr>
      </w:pPr>
      <w:r>
        <w:rPr>
          <w:rFonts w:ascii="仿宋_GB2312" w:eastAsia="仿宋_GB2312" w:hAnsi="仿宋_GB2312" w:cs="仿宋_GB2312"/>
          <w:w w:val="95"/>
          <w:kern w:val="0"/>
          <w:sz w:val="32"/>
          <w:szCs w:val="32"/>
        </w:rPr>
        <w:t>6.</w:t>
      </w:r>
      <w:r>
        <w:rPr>
          <w:rFonts w:ascii="仿宋_GB2312" w:eastAsia="仿宋_GB2312"/>
          <w:spacing w:val="-2"/>
          <w:w w:val="92"/>
          <w:sz w:val="32"/>
        </w:rPr>
        <w:t>承诺按法律法规有关规定，接受项目监管、审计和评估，并承担相应责任。</w:t>
      </w:r>
    </w:p>
    <w:p w14:paraId="2698547B"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四、评标定标方法</w:t>
      </w:r>
    </w:p>
    <w:p w14:paraId="3CEDB9A4"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lastRenderedPageBreak/>
        <w:t>采用票决法。</w:t>
      </w:r>
    </w:p>
    <w:p w14:paraId="06F7A2F2"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五、商务需求</w:t>
      </w:r>
    </w:p>
    <w:p w14:paraId="6532D3A3" w14:textId="77777777" w:rsidR="005E61CE" w:rsidRDefault="005E61CE" w:rsidP="005E61CE">
      <w:pPr>
        <w:pStyle w:val="1"/>
        <w:tabs>
          <w:tab w:val="left" w:pos="1923"/>
        </w:tabs>
        <w:kinsoku w:val="0"/>
        <w:overflowPunct w:val="0"/>
        <w:autoSpaceDE w:val="0"/>
        <w:autoSpaceDN w:val="0"/>
        <w:adjustRightInd w:val="0"/>
        <w:spacing w:before="0" w:line="560" w:lineRule="exact"/>
        <w:ind w:leftChars="304" w:left="638" w:right="0" w:firstLine="0"/>
        <w:rPr>
          <w:rFonts w:ascii="仿宋_GB2312" w:eastAsia="仿宋_GB2312" w:hint="default"/>
          <w:spacing w:val="-2"/>
          <w:w w:val="95"/>
          <w:sz w:val="32"/>
        </w:rPr>
      </w:pPr>
      <w:r>
        <w:rPr>
          <w:rFonts w:ascii="仿宋_GB2312" w:eastAsia="仿宋_GB2312"/>
          <w:b/>
          <w:bCs/>
          <w:spacing w:val="-2"/>
          <w:w w:val="95"/>
          <w:sz w:val="32"/>
        </w:rPr>
        <w:t>（一）服务期：</w:t>
      </w:r>
      <w:proofErr w:type="gramStart"/>
      <w:r>
        <w:rPr>
          <w:rFonts w:ascii="仿宋_GB2312" w:eastAsia="仿宋_GB2312"/>
          <w:spacing w:val="-2"/>
          <w:w w:val="95"/>
          <w:sz w:val="32"/>
        </w:rPr>
        <w:t>自服务</w:t>
      </w:r>
      <w:proofErr w:type="gramEnd"/>
      <w:r>
        <w:rPr>
          <w:rFonts w:ascii="仿宋_GB2312" w:eastAsia="仿宋_GB2312"/>
          <w:spacing w:val="-2"/>
          <w:w w:val="95"/>
          <w:sz w:val="32"/>
        </w:rPr>
        <w:t>协议签订之日起至2025年12月15日。</w:t>
      </w:r>
      <w:r>
        <w:rPr>
          <w:rFonts w:ascii="仿宋_GB2312" w:eastAsia="仿宋_GB2312"/>
          <w:b/>
          <w:bCs/>
          <w:spacing w:val="-2"/>
          <w:w w:val="95"/>
          <w:sz w:val="32"/>
        </w:rPr>
        <w:t>（二）服务地点：</w:t>
      </w:r>
      <w:r>
        <w:rPr>
          <w:rFonts w:ascii="仿宋_GB2312" w:eastAsia="仿宋_GB2312"/>
          <w:spacing w:val="-2"/>
          <w:w w:val="95"/>
          <w:sz w:val="32"/>
        </w:rPr>
        <w:t>深圳市残疾人联合会。</w:t>
      </w:r>
    </w:p>
    <w:p w14:paraId="69EDF71E"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b/>
          <w:bCs/>
          <w:spacing w:val="-2"/>
          <w:w w:val="95"/>
          <w:sz w:val="32"/>
        </w:rPr>
      </w:pPr>
      <w:r>
        <w:rPr>
          <w:rFonts w:ascii="仿宋_GB2312" w:eastAsia="仿宋_GB2312"/>
          <w:b/>
          <w:bCs/>
          <w:spacing w:val="-2"/>
          <w:w w:val="95"/>
          <w:sz w:val="32"/>
        </w:rPr>
        <w:t>（三）报价要求：</w:t>
      </w:r>
    </w:p>
    <w:p w14:paraId="692E311B"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spacing w:val="-2"/>
          <w:w w:val="95"/>
          <w:sz w:val="32"/>
        </w:rPr>
        <w:t>签定</w:t>
      </w:r>
      <w:proofErr w:type="gramEnd"/>
      <w:r>
        <w:rPr>
          <w:rFonts w:ascii="仿宋_GB2312" w:eastAsia="仿宋_GB2312"/>
          <w:spacing w:val="-2"/>
          <w:w w:val="95"/>
          <w:sz w:val="32"/>
        </w:rPr>
        <w:t>的合同金额，合同期限内不做调整。</w:t>
      </w:r>
    </w:p>
    <w:p w14:paraId="2C1ED8A3"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14:paraId="3669BA69"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14:paraId="112115C7" w14:textId="77777777" w:rsidR="005E61CE" w:rsidRDefault="005E61CE" w:rsidP="005E61CE">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4、投标供应商的报价，应当是本项目采购范围和采购文件及合同条款上所列的各项内容中所述的全部，不得以任何理由予以重复。</w:t>
      </w:r>
    </w:p>
    <w:p w14:paraId="3D4D3FA5" w14:textId="77777777" w:rsidR="005E61CE" w:rsidRDefault="005E61CE" w:rsidP="005E61CE">
      <w:pPr>
        <w:spacing w:line="560" w:lineRule="exact"/>
        <w:ind w:firstLineChars="200" w:firstLine="599"/>
        <w:jc w:val="left"/>
        <w:rPr>
          <w:rFonts w:ascii="仿宋_GB2312" w:eastAsia="仿宋_GB2312"/>
          <w:spacing w:val="-2"/>
          <w:w w:val="95"/>
          <w:sz w:val="32"/>
        </w:rPr>
      </w:pPr>
      <w:r>
        <w:rPr>
          <w:rFonts w:ascii="仿宋_GB2312" w:eastAsia="仿宋_GB2312"/>
          <w:b/>
          <w:bCs/>
          <w:spacing w:val="-2"/>
          <w:w w:val="95"/>
          <w:sz w:val="32"/>
        </w:rPr>
        <w:t>（</w:t>
      </w:r>
      <w:r>
        <w:rPr>
          <w:rFonts w:ascii="仿宋_GB2312" w:eastAsia="仿宋_GB2312" w:hint="eastAsia"/>
          <w:b/>
          <w:bCs/>
          <w:spacing w:val="-2"/>
          <w:w w:val="95"/>
          <w:sz w:val="32"/>
        </w:rPr>
        <w:t>四</w:t>
      </w:r>
      <w:r>
        <w:rPr>
          <w:rFonts w:ascii="仿宋_GB2312" w:eastAsia="仿宋_GB2312"/>
          <w:b/>
          <w:bCs/>
          <w:spacing w:val="-2"/>
          <w:w w:val="95"/>
          <w:sz w:val="32"/>
        </w:rPr>
        <w:t>）付款方式：</w:t>
      </w:r>
      <w:r>
        <w:rPr>
          <w:rFonts w:ascii="仿宋_GB2312" w:eastAsia="仿宋_GB2312" w:hint="eastAsia"/>
          <w:spacing w:val="-2"/>
          <w:w w:val="95"/>
          <w:sz w:val="32"/>
        </w:rPr>
        <w:t>分期付款，项目经费分三次支付，采购人于双方合同签订60个工作日内且收到发票后30个工作日内支付合同金额的70%给中标人；合同签订六个月后支付中标人合同金额的20%，项目结束后，采购人进行项目终期验收，验收通过后支付合同金额的10%给中标人。</w:t>
      </w:r>
    </w:p>
    <w:p w14:paraId="578F7A4D" w14:textId="77777777" w:rsidR="005E61CE" w:rsidRDefault="005E61CE" w:rsidP="005E61CE">
      <w:pPr>
        <w:spacing w:line="560" w:lineRule="exact"/>
        <w:ind w:firstLineChars="200" w:firstLine="599"/>
        <w:rPr>
          <w:rFonts w:ascii="仿宋_GB2312" w:eastAsia="仿宋_GB2312" w:hAnsi="Times New Roman"/>
          <w:spacing w:val="-2"/>
          <w:w w:val="95"/>
          <w:sz w:val="32"/>
        </w:rPr>
      </w:pPr>
      <w:r>
        <w:rPr>
          <w:rFonts w:ascii="仿宋_GB2312" w:eastAsia="仿宋_GB2312" w:hint="eastAsia"/>
          <w:b/>
          <w:bCs/>
          <w:spacing w:val="-2"/>
          <w:w w:val="95"/>
          <w:sz w:val="32"/>
        </w:rPr>
        <w:t>（五</w:t>
      </w:r>
      <w:r>
        <w:rPr>
          <w:rFonts w:ascii="仿宋_GB2312" w:eastAsia="仿宋_GB2312" w:hAnsi="Times New Roman" w:hint="eastAsia"/>
          <w:b/>
          <w:bCs/>
          <w:spacing w:val="-2"/>
          <w:w w:val="95"/>
          <w:sz w:val="32"/>
        </w:rPr>
        <w:t>）</w:t>
      </w:r>
      <w:r>
        <w:rPr>
          <w:rFonts w:ascii="仿宋_GB2312" w:eastAsia="仿宋_GB2312" w:hint="eastAsia"/>
          <w:b/>
          <w:bCs/>
          <w:spacing w:val="-2"/>
          <w:w w:val="95"/>
          <w:sz w:val="32"/>
        </w:rPr>
        <w:t>保密要求：</w:t>
      </w:r>
      <w:r>
        <w:rPr>
          <w:rFonts w:ascii="仿宋_GB2312" w:eastAsia="仿宋_GB2312" w:hint="eastAsia"/>
          <w:spacing w:val="-2"/>
          <w:w w:val="95"/>
          <w:sz w:val="32"/>
        </w:rPr>
        <w:t>中标单位对开展项目所取得的信息和内容保密，不得对外或向第三方披露。</w:t>
      </w:r>
    </w:p>
    <w:p w14:paraId="3653C240" w14:textId="77777777" w:rsidR="005E61CE" w:rsidRDefault="005E61CE" w:rsidP="005E61CE">
      <w:pPr>
        <w:widowControl/>
        <w:spacing w:line="560" w:lineRule="exact"/>
        <w:ind w:firstLineChars="200" w:firstLine="599"/>
        <w:rPr>
          <w:rFonts w:ascii="黑体" w:eastAsia="黑体" w:hAnsi="黑体" w:cs="黑体" w:hint="eastAsia"/>
          <w:sz w:val="32"/>
          <w:szCs w:val="32"/>
        </w:rPr>
      </w:pPr>
      <w:r>
        <w:rPr>
          <w:rFonts w:ascii="仿宋_GB2312" w:eastAsia="仿宋_GB2312" w:hint="eastAsia"/>
          <w:b/>
          <w:bCs/>
          <w:spacing w:val="-2"/>
          <w:w w:val="95"/>
          <w:sz w:val="32"/>
        </w:rPr>
        <w:t>（六）</w:t>
      </w:r>
      <w:r>
        <w:rPr>
          <w:rFonts w:ascii="仿宋_GB2312" w:eastAsia="仿宋_GB2312" w:hAnsi="Times New Roman" w:hint="eastAsia"/>
          <w:b/>
          <w:bCs/>
          <w:spacing w:val="-2"/>
          <w:w w:val="95"/>
          <w:sz w:val="32"/>
        </w:rPr>
        <w:t>违约责任：</w:t>
      </w:r>
      <w:r>
        <w:rPr>
          <w:rFonts w:ascii="仿宋_GB2312" w:eastAsia="仿宋_GB2312" w:hAnsi="Times New Roman" w:hint="eastAsia"/>
          <w:spacing w:val="-2"/>
          <w:w w:val="95"/>
          <w:sz w:val="32"/>
        </w:rPr>
        <w:t>以合同签订的违约责任确定。</w:t>
      </w:r>
    </w:p>
    <w:p w14:paraId="5DFFF431" w14:textId="77777777" w:rsidR="003C132E" w:rsidRPr="005E61CE" w:rsidRDefault="003C132E">
      <w:pPr>
        <w:rPr>
          <w:rFonts w:hint="eastAsia"/>
        </w:rPr>
      </w:pPr>
    </w:p>
    <w:sectPr w:rsidR="003C132E" w:rsidRPr="005E6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CE"/>
    <w:rsid w:val="00115E64"/>
    <w:rsid w:val="003C132E"/>
    <w:rsid w:val="005E6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404E"/>
  <w15:chartTrackingRefBased/>
  <w15:docId w15:val="{A88C17B8-89F5-42D7-AED7-D33BBD0F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1C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5E61CE"/>
    <w:pPr>
      <w:spacing w:before="240" w:after="60" w:line="360" w:lineRule="auto"/>
      <w:jc w:val="center"/>
      <w:outlineLvl w:val="0"/>
    </w:pPr>
    <w:rPr>
      <w:rFonts w:ascii="Cambria" w:hAnsi="Cambria"/>
      <w:b/>
      <w:bCs/>
      <w:sz w:val="32"/>
      <w:szCs w:val="32"/>
    </w:rPr>
  </w:style>
  <w:style w:type="character" w:customStyle="1" w:styleId="a4">
    <w:name w:val="标题 字符"/>
    <w:basedOn w:val="a0"/>
    <w:link w:val="a3"/>
    <w:uiPriority w:val="99"/>
    <w:rsid w:val="005E61CE"/>
    <w:rPr>
      <w:rFonts w:ascii="Cambria" w:eastAsia="宋体" w:hAnsi="Cambria" w:cs="Times New Roman"/>
      <w:b/>
      <w:bCs/>
      <w:sz w:val="32"/>
      <w:szCs w:val="32"/>
    </w:rPr>
  </w:style>
  <w:style w:type="paragraph" w:customStyle="1" w:styleId="1">
    <w:name w:val="列表段落1"/>
    <w:basedOn w:val="a"/>
    <w:uiPriority w:val="1"/>
    <w:unhideWhenUsed/>
    <w:qFormat/>
    <w:rsid w:val="005E61CE"/>
    <w:pPr>
      <w:spacing w:before="2"/>
      <w:ind w:left="960" w:right="980" w:firstLine="640"/>
    </w:pPr>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2025-01-06T02:14:00Z</dcterms:created>
  <dcterms:modified xsi:type="dcterms:W3CDTF">2025-01-06T02:15:00Z</dcterms:modified>
</cp:coreProperties>
</file>