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642B" w14:textId="77777777" w:rsidR="00A925F8" w:rsidRDefault="00A925F8" w:rsidP="00A925F8">
      <w:pPr>
        <w:jc w:val="center"/>
        <w:rPr>
          <w:rFonts w:ascii="方正小标宋_GBK" w:eastAsia="方正小标宋_GBK" w:hAnsi="方正小标宋_GBK" w:cs="方正小标宋_GBK" w:hint="eastAsia"/>
          <w:bCs/>
          <w:spacing w:val="-4"/>
          <w:sz w:val="44"/>
          <w:szCs w:val="44"/>
        </w:rPr>
      </w:pPr>
      <w:r>
        <w:rPr>
          <w:rFonts w:ascii="方正小标宋_GBK" w:eastAsia="方正小标宋_GBK" w:hAnsi="方正小标宋_GBK" w:cs="方正小标宋_GBK" w:hint="eastAsia"/>
          <w:bCs/>
          <w:spacing w:val="-4"/>
          <w:sz w:val="44"/>
          <w:szCs w:val="44"/>
        </w:rPr>
        <w:t>深圳市残疾人综合服务中心甄选社会采购</w:t>
      </w:r>
    </w:p>
    <w:p w14:paraId="49DF77BF" w14:textId="77777777" w:rsidR="00A925F8" w:rsidRDefault="00A925F8" w:rsidP="00A925F8">
      <w:pPr>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代理机构需求</w:t>
      </w:r>
    </w:p>
    <w:p w14:paraId="1D01C816" w14:textId="77777777" w:rsidR="00A925F8" w:rsidRDefault="00A925F8" w:rsidP="00A925F8">
      <w:pPr>
        <w:spacing w:line="560" w:lineRule="exact"/>
        <w:ind w:rightChars="-182" w:right="-382" w:firstLineChars="600" w:firstLine="1920"/>
        <w:rPr>
          <w:rFonts w:ascii="仿宋_GB2312" w:eastAsia="仿宋_GB2312" w:hAnsi="仿宋_GB2312" w:cs="仿宋_GB2312" w:hint="eastAsia"/>
          <w:sz w:val="32"/>
          <w:szCs w:val="32"/>
        </w:rPr>
      </w:pPr>
    </w:p>
    <w:p w14:paraId="6865BB79" w14:textId="77777777" w:rsidR="00A925F8" w:rsidRDefault="00A925F8" w:rsidP="00A925F8">
      <w:pPr>
        <w:pStyle w:val="a3"/>
        <w:kinsoku w:val="0"/>
        <w:overflowPunct w:val="0"/>
        <w:autoSpaceDE w:val="0"/>
        <w:autoSpaceDN w:val="0"/>
        <w:adjustRightInd w:val="0"/>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b/>
          <w:bCs/>
          <w:szCs w:val="32"/>
        </w:rPr>
        <w:t>一、采购项目概况</w:t>
      </w:r>
    </w:p>
    <w:p w14:paraId="21D5F5BD" w14:textId="77777777" w:rsidR="00A925F8" w:rsidRDefault="00A925F8" w:rsidP="00A925F8">
      <w:pPr>
        <w:autoSpaceDE w:val="0"/>
        <w:autoSpaceDN w:val="0"/>
        <w:adjustRightInd w:val="0"/>
        <w:spacing w:line="560" w:lineRule="exact"/>
        <w:ind w:firstLine="562"/>
        <w:rPr>
          <w:rFonts w:ascii="仿宋_GB2312" w:eastAsia="仿宋_GB2312"/>
          <w:sz w:val="32"/>
          <w:szCs w:val="32"/>
          <w:lang w:val="zh-CN"/>
        </w:rPr>
      </w:pPr>
      <w:r>
        <w:rPr>
          <w:rFonts w:ascii="仿宋_GB2312" w:eastAsia="仿宋_GB2312" w:hint="eastAsia"/>
          <w:sz w:val="32"/>
          <w:szCs w:val="32"/>
        </w:rPr>
        <w:t>根据《深圳市财政局关于进一步做好社会采购代理机构选择有关事项的通知》（</w:t>
      </w:r>
      <w:proofErr w:type="gramStart"/>
      <w:r>
        <w:rPr>
          <w:rFonts w:ascii="仿宋_GB2312" w:eastAsia="仿宋_GB2312" w:hint="eastAsia"/>
          <w:sz w:val="32"/>
          <w:szCs w:val="32"/>
        </w:rPr>
        <w:t>深财购〔2020〕</w:t>
      </w:r>
      <w:proofErr w:type="gramEnd"/>
      <w:r>
        <w:rPr>
          <w:rFonts w:ascii="仿宋_GB2312" w:eastAsia="仿宋_GB2312" w:hint="eastAsia"/>
          <w:sz w:val="32"/>
          <w:szCs w:val="32"/>
        </w:rPr>
        <w:t>21号），</w:t>
      </w:r>
      <w:r>
        <w:rPr>
          <w:rFonts w:ascii="仿宋_GB2312" w:eastAsia="仿宋_GB2312" w:hAnsiTheme="minorEastAsia" w:hint="eastAsia"/>
          <w:sz w:val="32"/>
          <w:szCs w:val="32"/>
        </w:rPr>
        <w:t>自2018年8月1日起在采购计划编报环节增加采购单位自主选择政府采购招</w:t>
      </w:r>
      <w:r>
        <w:rPr>
          <w:rFonts w:ascii="仿宋_GB2312" w:eastAsia="仿宋_GB2312" w:hint="eastAsia"/>
          <w:sz w:val="32"/>
          <w:szCs w:val="32"/>
        </w:rPr>
        <w:t>标机构（1</w:t>
      </w:r>
      <w:proofErr w:type="gramStart"/>
      <w:r>
        <w:rPr>
          <w:rFonts w:ascii="仿宋_GB2312" w:eastAsia="仿宋_GB2312" w:hint="eastAsia"/>
          <w:sz w:val="32"/>
          <w:szCs w:val="32"/>
        </w:rPr>
        <w:t>千万</w:t>
      </w:r>
      <w:proofErr w:type="gramEnd"/>
      <w:r>
        <w:rPr>
          <w:rFonts w:ascii="仿宋_GB2312" w:eastAsia="仿宋_GB2312" w:hint="eastAsia"/>
          <w:sz w:val="32"/>
          <w:szCs w:val="32"/>
        </w:rPr>
        <w:t>以下由各采购单位自行选择采购代理机构，1</w:t>
      </w:r>
      <w:proofErr w:type="gramStart"/>
      <w:r>
        <w:rPr>
          <w:rFonts w:ascii="仿宋_GB2312" w:eastAsia="仿宋_GB2312" w:hint="eastAsia"/>
          <w:sz w:val="32"/>
          <w:szCs w:val="32"/>
        </w:rPr>
        <w:t>千万</w:t>
      </w:r>
      <w:proofErr w:type="gramEnd"/>
      <w:r>
        <w:rPr>
          <w:rFonts w:ascii="仿宋_GB2312" w:eastAsia="仿宋_GB2312" w:hint="eastAsia"/>
          <w:sz w:val="32"/>
          <w:szCs w:val="32"/>
        </w:rPr>
        <w:t>以上采购由市采购中心代理）。内容包括：乙方接受甲方的委托，依照法定程序组织各项采购代理活动，运用自身的专业技能为甲方做好采购代理工作。编制、发售、解释招标文件，在政府采购监督管理部门指定媒体上发布信息公告，发送中标（成交）通知书，依法抽取专家，协助甲方组建评审委员会，协助甲方对投标人的资格进行审查，组织开标、评标工作，并做好评审记录，答复供应商的询问和质疑。法律法规规定的其他事项。</w:t>
      </w:r>
    </w:p>
    <w:p w14:paraId="284112E7" w14:textId="77777777" w:rsidR="00A925F8" w:rsidRDefault="00A925F8" w:rsidP="00A925F8">
      <w:pPr>
        <w:autoSpaceDE w:val="0"/>
        <w:autoSpaceDN w:val="0"/>
        <w:adjustRightInd w:val="0"/>
        <w:spacing w:line="560" w:lineRule="exact"/>
        <w:ind w:firstLine="562"/>
        <w:rPr>
          <w:rFonts w:ascii="仿宋_GB2312" w:eastAsia="仿宋_GB2312"/>
          <w:sz w:val="32"/>
          <w:szCs w:val="32"/>
          <w:lang w:val="zh-CN"/>
        </w:rPr>
      </w:pPr>
      <w:r>
        <w:rPr>
          <w:rFonts w:ascii="仿宋_GB2312" w:eastAsia="仿宋_GB2312" w:hint="eastAsia"/>
          <w:sz w:val="32"/>
          <w:szCs w:val="32"/>
          <w:lang w:val="zh-CN"/>
        </w:rPr>
        <w:t>具体包括：</w:t>
      </w:r>
    </w:p>
    <w:p w14:paraId="637EE715"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1、接收甲方交付的项目资料，根据采购项目的特点和需要编制招标公告、招标文件，并报甲方书面确认。</w:t>
      </w:r>
    </w:p>
    <w:p w14:paraId="1673EF31"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2、在政府采购规定的渠道发布采购信息公告（或发出投标邀请函）。</w:t>
      </w:r>
    </w:p>
    <w:p w14:paraId="78ABE71D"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3、组织供应商资格预审（邀请招标方式时采用）。</w:t>
      </w:r>
    </w:p>
    <w:p w14:paraId="75CE4C34"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4、组织报名登记工作，向投标人发售采购文件，发放项目</w:t>
      </w:r>
      <w:r>
        <w:rPr>
          <w:rFonts w:ascii="仿宋_GB2312" w:eastAsia="仿宋_GB2312" w:hint="eastAsia"/>
          <w:sz w:val="32"/>
          <w:szCs w:val="32"/>
        </w:rPr>
        <w:lastRenderedPageBreak/>
        <w:t>图纸及相关资料（如有）。</w:t>
      </w:r>
    </w:p>
    <w:p w14:paraId="064E4CB9"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5、接收甲方的澄清要求，发布更正/变更公告，并书面通知所有获取采购文件的潜在投标人（如有）。</w:t>
      </w:r>
    </w:p>
    <w:p w14:paraId="04E202FE"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6、组织标前答疑会或进行书面答疑，负责整理答疑资料，答疑纪要公告作为采购文件的组成部分，并书面通知所有获取采购文件的潜在投标人（如有）。</w:t>
      </w:r>
    </w:p>
    <w:p w14:paraId="6D997D13"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7、接收投标人的投标文件，组织并主持开标会议、评标会议，并向甲方提交评审委员会出具的评审报告。</w:t>
      </w:r>
    </w:p>
    <w:p w14:paraId="34602196"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8、按照政府采购规定编制并发布中标、成交结果公告。同时向中标（成交）供应商发出《中标/成交通知书》，向甲方及未中标（成交）供应商发出《招标结果通知书》。</w:t>
      </w:r>
    </w:p>
    <w:p w14:paraId="66F54FAE"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9、汇编采购项目活动记录即项目汇总报告。</w:t>
      </w:r>
    </w:p>
    <w:p w14:paraId="6BFEBE65"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10、按照政府采购规定保存采购文件、投标人的投标文件、项目汇总报告等项目文件。</w:t>
      </w:r>
    </w:p>
    <w:p w14:paraId="26DB1005"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11、不得向协议以外的单位和个人提供本次采购项目的有关情况和资料。</w:t>
      </w:r>
    </w:p>
    <w:p w14:paraId="3D0255E0"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12、及时与甲方协调解决招标采购实施过程中出现的问题。直接答复投标人依法提出的关于组织招标采购、开标、评标、定标活动程序方面的询问或者质疑，协助监督管理部门处理供应商的投诉事宜。</w:t>
      </w:r>
    </w:p>
    <w:p w14:paraId="1DA545D9" w14:textId="77777777" w:rsidR="00A925F8" w:rsidRDefault="00A925F8" w:rsidP="00A925F8">
      <w:pPr>
        <w:autoSpaceDE w:val="0"/>
        <w:autoSpaceDN w:val="0"/>
        <w:adjustRightInd w:val="0"/>
        <w:spacing w:line="560" w:lineRule="exact"/>
        <w:ind w:firstLine="562"/>
        <w:rPr>
          <w:rFonts w:ascii="仿宋_GB2312" w:eastAsia="仿宋_GB2312"/>
          <w:sz w:val="32"/>
          <w:szCs w:val="32"/>
          <w:lang w:val="zh-CN"/>
        </w:rPr>
      </w:pPr>
      <w:r>
        <w:rPr>
          <w:rFonts w:ascii="仿宋_GB2312" w:eastAsia="仿宋_GB2312" w:hint="eastAsia"/>
          <w:b/>
          <w:bCs/>
          <w:sz w:val="32"/>
          <w:szCs w:val="32"/>
        </w:rPr>
        <w:t>二、</w:t>
      </w:r>
      <w:r>
        <w:rPr>
          <w:rFonts w:ascii="仿宋_GB2312" w:eastAsia="仿宋_GB2312" w:hint="eastAsia"/>
          <w:b/>
          <w:bCs/>
          <w:sz w:val="32"/>
          <w:szCs w:val="32"/>
          <w:lang w:val="zh-CN"/>
        </w:rPr>
        <w:t>项目管理和服务要求</w:t>
      </w:r>
    </w:p>
    <w:p w14:paraId="687556A5" w14:textId="77777777" w:rsidR="00A925F8" w:rsidRDefault="00A925F8" w:rsidP="00A925F8">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深圳市残疾人综合服务中心选择确定的社会采购代理机构，需要指定一名本单位工作人员代表代理机构与我中心联系处理招标采购过程中的有关具体事项，随时为我会提供服务。</w:t>
      </w:r>
    </w:p>
    <w:p w14:paraId="7889D659" w14:textId="77777777" w:rsidR="00A925F8" w:rsidRDefault="00A925F8" w:rsidP="00A925F8">
      <w:pPr>
        <w:numPr>
          <w:ilvl w:val="0"/>
          <w:numId w:val="1"/>
        </w:numPr>
        <w:autoSpaceDE w:val="0"/>
        <w:autoSpaceDN w:val="0"/>
        <w:adjustRightInd w:val="0"/>
        <w:spacing w:line="560" w:lineRule="exact"/>
        <w:ind w:firstLine="562"/>
        <w:rPr>
          <w:rFonts w:ascii="仿宋_GB2312" w:eastAsia="仿宋_GB2312"/>
          <w:sz w:val="32"/>
          <w:szCs w:val="32"/>
        </w:rPr>
      </w:pPr>
      <w:r>
        <w:rPr>
          <w:rFonts w:ascii="仿宋_GB2312" w:eastAsia="仿宋_GB2312" w:hint="eastAsia"/>
          <w:b/>
          <w:bCs/>
          <w:sz w:val="32"/>
          <w:szCs w:val="32"/>
        </w:rPr>
        <w:lastRenderedPageBreak/>
        <w:t>服务商资格条件及要求</w:t>
      </w:r>
    </w:p>
    <w:p w14:paraId="5AF10F70" w14:textId="77777777" w:rsidR="00A925F8" w:rsidRDefault="00A925F8" w:rsidP="00A925F8">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1.投标人须符合《中华人民共和国政府采购法》第二十二条第一款的规定。</w:t>
      </w:r>
    </w:p>
    <w:p w14:paraId="6CEA264F" w14:textId="77777777" w:rsidR="00A925F8" w:rsidRDefault="00A925F8" w:rsidP="00A925F8">
      <w:pPr>
        <w:spacing w:line="560" w:lineRule="exact"/>
        <w:ind w:firstLineChars="200" w:firstLine="640"/>
        <w:rPr>
          <w:rFonts w:ascii="仿宋_GB2312" w:eastAsia="仿宋_GB2312" w:hAnsi="宋体" w:cs="Times New Roman" w:hint="eastAsia"/>
          <w:sz w:val="32"/>
          <w:szCs w:val="32"/>
        </w:rPr>
      </w:pPr>
      <w:r>
        <w:rPr>
          <w:rFonts w:ascii="仿宋_GB2312" w:eastAsia="仿宋_GB2312" w:hAnsi="Times New Roman" w:cs="Times New Roman" w:hint="eastAsia"/>
          <w:sz w:val="32"/>
          <w:szCs w:val="32"/>
        </w:rPr>
        <w:t>（1）具</w:t>
      </w:r>
      <w:r>
        <w:rPr>
          <w:rFonts w:ascii="仿宋_GB2312" w:eastAsia="仿宋_GB2312" w:hAnsi="宋体" w:cs="Times New Roman" w:hint="eastAsia"/>
          <w:sz w:val="32"/>
          <w:szCs w:val="32"/>
        </w:rPr>
        <w:t>有独立承担民事责任的能力；</w:t>
      </w:r>
    </w:p>
    <w:p w14:paraId="6DCC90BE" w14:textId="77777777" w:rsidR="00A925F8" w:rsidRDefault="00A925F8" w:rsidP="00A925F8">
      <w:pPr>
        <w:spacing w:line="56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（2）具有良好的商业信誉和健全的财务会计制度；</w:t>
      </w:r>
    </w:p>
    <w:p w14:paraId="5BD9C687" w14:textId="77777777" w:rsidR="00A925F8" w:rsidRDefault="00A925F8" w:rsidP="00A925F8">
      <w:pPr>
        <w:spacing w:line="56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（3）具有履行合同所必需的设备和专业技术能力；</w:t>
      </w:r>
    </w:p>
    <w:p w14:paraId="4CA20C79" w14:textId="77777777" w:rsidR="00A925F8" w:rsidRDefault="00A925F8" w:rsidP="00A925F8">
      <w:pPr>
        <w:spacing w:line="56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（4）有依法缴纳税收和社会保障资金的良好记录；</w:t>
      </w:r>
    </w:p>
    <w:p w14:paraId="7FC55937" w14:textId="77777777" w:rsidR="00A925F8" w:rsidRDefault="00A925F8" w:rsidP="00A925F8">
      <w:pPr>
        <w:spacing w:line="56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（5）参加政府采购活动前三年内，在经营活动中没有重大违法记录。</w:t>
      </w:r>
    </w:p>
    <w:p w14:paraId="50FC9C53" w14:textId="77777777" w:rsidR="00A925F8" w:rsidRDefault="00A925F8" w:rsidP="00A925F8">
      <w:pPr>
        <w:spacing w:line="56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2.投标人应自觉抵制商业贿赂行为，投标人到中标公告期结束前三年内无行贿犯罪记录。</w:t>
      </w:r>
    </w:p>
    <w:p w14:paraId="0605F40C" w14:textId="77777777" w:rsidR="00A925F8" w:rsidRDefault="00A925F8" w:rsidP="00A925F8">
      <w:pPr>
        <w:spacing w:line="56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3、提供履行合同所必需的设备和专业技术能力的书面声明。（提供《投标人资格声明函》，格式自拟）</w:t>
      </w:r>
    </w:p>
    <w:p w14:paraId="2D70264F" w14:textId="77777777" w:rsidR="00A925F8" w:rsidRDefault="00A925F8" w:rsidP="00A925F8">
      <w:pPr>
        <w:spacing w:line="560" w:lineRule="exact"/>
        <w:ind w:firstLineChars="200" w:firstLine="640"/>
        <w:rPr>
          <w:rFonts w:ascii="仿宋_GB2312" w:eastAsia="仿宋_GB2312" w:hAnsi="宋体" w:cs="Times New Roman" w:hint="eastAsia"/>
          <w:sz w:val="32"/>
          <w:szCs w:val="32"/>
        </w:rPr>
      </w:pPr>
      <w:r>
        <w:rPr>
          <w:rFonts w:ascii="仿宋_GB2312" w:eastAsia="仿宋_GB2312" w:hAnsi="宋体" w:cs="Times New Roman" w:hint="eastAsia"/>
          <w:sz w:val="32"/>
          <w:szCs w:val="32"/>
        </w:rPr>
        <w:t>4、采购代理机构已纳入深圳市代理机构从业目录，符合《政府采购代理机构管理暂行办法》等相关从业规定；</w:t>
      </w:r>
    </w:p>
    <w:p w14:paraId="427A7625" w14:textId="77777777" w:rsidR="00A925F8" w:rsidRDefault="00A925F8" w:rsidP="00A925F8">
      <w:pPr>
        <w:wordWrap w:val="0"/>
        <w:autoSpaceDE w:val="0"/>
        <w:autoSpaceDN w:val="0"/>
        <w:adjustRightInd w:val="0"/>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宋体" w:cs="Times New Roman" w:hint="eastAsia"/>
          <w:sz w:val="32"/>
          <w:szCs w:val="32"/>
        </w:rPr>
        <w:t>5、未被列入失信被执行人、重大税收违法案件当事人名单、政府采购严重违法失信行</w:t>
      </w:r>
      <w:r>
        <w:rPr>
          <w:rFonts w:ascii="仿宋_GB2312" w:eastAsia="仿宋_GB2312" w:hAnsi="仿宋_GB2312" w:cs="仿宋_GB2312" w:hint="eastAsia"/>
          <w:bCs/>
          <w:sz w:val="32"/>
          <w:szCs w:val="32"/>
        </w:rPr>
        <w:t>为记录名单。（由供应商在《投标人资格声明函》中</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声明，格式自拟）。注：“信用中国(www.creditchina.gov.cn)”、“中国政府采购网(www.ccgp.gov.cn)”、“深圳信用网（https://www.szcredit.com.cn）”以及“深圳市政府采购监管网（zfcg.sz.gov.cn）”为供应商信用信息的查询渠道。</w:t>
      </w:r>
    </w:p>
    <w:p w14:paraId="6F135449" w14:textId="77777777" w:rsidR="00A925F8" w:rsidRDefault="00A925F8" w:rsidP="00A925F8">
      <w:pPr>
        <w:autoSpaceDE w:val="0"/>
        <w:autoSpaceDN w:val="0"/>
        <w:adjustRightIn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四、评标定标方法</w:t>
      </w:r>
    </w:p>
    <w:p w14:paraId="53957578" w14:textId="77777777" w:rsidR="00A925F8" w:rsidRDefault="00A925F8" w:rsidP="00A925F8">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采用票决法。</w:t>
      </w:r>
    </w:p>
    <w:p w14:paraId="27C86DAA" w14:textId="77777777" w:rsidR="00A925F8" w:rsidRDefault="00A925F8" w:rsidP="00A925F8">
      <w:pPr>
        <w:autoSpaceDE w:val="0"/>
        <w:autoSpaceDN w:val="0"/>
        <w:adjustRightInd w:val="0"/>
        <w:spacing w:line="560" w:lineRule="exact"/>
        <w:ind w:firstLine="562"/>
        <w:rPr>
          <w:rFonts w:ascii="仿宋_GB2312" w:eastAsia="仿宋_GB2312"/>
          <w:b/>
          <w:bCs/>
          <w:sz w:val="32"/>
          <w:szCs w:val="32"/>
        </w:rPr>
      </w:pPr>
      <w:r>
        <w:rPr>
          <w:rFonts w:ascii="仿宋_GB2312" w:eastAsia="仿宋_GB2312" w:hint="eastAsia"/>
          <w:b/>
          <w:bCs/>
          <w:sz w:val="32"/>
          <w:szCs w:val="32"/>
        </w:rPr>
        <w:lastRenderedPageBreak/>
        <w:t>五、商务需求</w:t>
      </w:r>
    </w:p>
    <w:p w14:paraId="4F23C9E8"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（一）服务期：此项目为长期服务项目，可以续签，</w:t>
      </w:r>
      <w:proofErr w:type="gramStart"/>
      <w:r>
        <w:rPr>
          <w:rFonts w:ascii="仿宋_GB2312" w:eastAsia="仿宋_GB2312" w:hint="eastAsia"/>
          <w:sz w:val="32"/>
          <w:szCs w:val="32"/>
        </w:rPr>
        <w:t>本服务</w:t>
      </w:r>
      <w:proofErr w:type="gramEnd"/>
      <w:r>
        <w:rPr>
          <w:rFonts w:ascii="仿宋_GB2312" w:eastAsia="仿宋_GB2312" w:hint="eastAsia"/>
          <w:sz w:val="32"/>
          <w:szCs w:val="32"/>
        </w:rPr>
        <w:t>期为一年，服务期满后，甲方根据乙方履约情况研究确定是否续签，但最长不超过3年。</w:t>
      </w:r>
    </w:p>
    <w:p w14:paraId="2B059722"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（二）服务地点：代理机构办公场所及深圳市残疾人综合服务中心办公场所。</w:t>
      </w:r>
    </w:p>
    <w:p w14:paraId="1083C2A1"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（三）需从投标标的中择优选择三家进入深圳市残疾人综合服务中心采购代理库，进入中心残联采购代理库的社会采购代理机构将会</w:t>
      </w:r>
      <w:proofErr w:type="gramStart"/>
      <w:r>
        <w:rPr>
          <w:rFonts w:ascii="仿宋_GB2312" w:eastAsia="仿宋_GB2312" w:hint="eastAsia"/>
          <w:sz w:val="32"/>
          <w:szCs w:val="32"/>
        </w:rPr>
        <w:t>按照轮签</w:t>
      </w:r>
      <w:proofErr w:type="gramEnd"/>
      <w:r>
        <w:rPr>
          <w:rFonts w:ascii="仿宋_GB2312" w:eastAsia="仿宋_GB2312" w:hint="eastAsia"/>
          <w:sz w:val="32"/>
          <w:szCs w:val="32"/>
        </w:rPr>
        <w:t>的方式进行代理中心残联采购项目。</w:t>
      </w:r>
    </w:p>
    <w:p w14:paraId="29CE54B6"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（四）要求：</w:t>
      </w:r>
    </w:p>
    <w:p w14:paraId="6B9482C3"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1、招标代理费由中标供应商负责。</w:t>
      </w:r>
    </w:p>
    <w:p w14:paraId="3B6958F8" w14:textId="77777777" w:rsidR="00A925F8" w:rsidRDefault="00A925F8" w:rsidP="00A925F8">
      <w:pPr>
        <w:autoSpaceDE w:val="0"/>
        <w:autoSpaceDN w:val="0"/>
        <w:adjustRightInd w:val="0"/>
        <w:spacing w:line="560" w:lineRule="exact"/>
        <w:ind w:firstLine="562"/>
        <w:rPr>
          <w:rFonts w:ascii="仿宋_GB2312" w:eastAsia="仿宋_GB2312"/>
          <w:sz w:val="32"/>
          <w:szCs w:val="32"/>
        </w:rPr>
      </w:pPr>
      <w:r>
        <w:rPr>
          <w:rFonts w:ascii="仿宋_GB2312" w:eastAsia="仿宋_GB2312" w:hint="eastAsia"/>
          <w:sz w:val="32"/>
          <w:szCs w:val="32"/>
        </w:rPr>
        <w:t>2、乙方按规定向中标（成交）供应商收取招标代理服务费用，收费标准按中华人民共和国国家发展计划委员会颁发的计价格[2002]1980号文《招标代理服务收费管理暂行办法》及</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[2003]857号及</w:t>
      </w:r>
      <w:proofErr w:type="gramStart"/>
      <w:r>
        <w:rPr>
          <w:rFonts w:ascii="仿宋_GB2312" w:eastAsia="仿宋_GB2312" w:hint="eastAsia"/>
          <w:sz w:val="32"/>
          <w:szCs w:val="32"/>
        </w:rPr>
        <w:t>发改价格</w:t>
      </w:r>
      <w:proofErr w:type="gramEnd"/>
      <w:r>
        <w:rPr>
          <w:rFonts w:ascii="仿宋_GB2312" w:eastAsia="仿宋_GB2312" w:hint="eastAsia"/>
          <w:sz w:val="32"/>
          <w:szCs w:val="32"/>
        </w:rPr>
        <w:t>[2011]534号文件中规定的“相应类别（如服务类/货物类/工程类）”计费标准计费，具体以招标文件为准。</w:t>
      </w:r>
    </w:p>
    <w:p w14:paraId="5386EBBF" w14:textId="77777777" w:rsidR="00A925F8" w:rsidRDefault="00A925F8" w:rsidP="00A925F8">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3、若项目（或包组）</w:t>
      </w:r>
      <w:proofErr w:type="gramStart"/>
      <w:r>
        <w:rPr>
          <w:rFonts w:ascii="仿宋_GB2312" w:eastAsia="仿宋_GB2312" w:hint="eastAsia"/>
          <w:sz w:val="32"/>
          <w:szCs w:val="32"/>
        </w:rPr>
        <w:t>废标后</w:t>
      </w:r>
      <w:proofErr w:type="gramEnd"/>
      <w:r>
        <w:rPr>
          <w:rFonts w:ascii="仿宋_GB2312" w:eastAsia="仿宋_GB2312" w:hint="eastAsia"/>
          <w:sz w:val="32"/>
          <w:szCs w:val="32"/>
        </w:rPr>
        <w:t>，则乙方按照项目（或包组）重招时招标文件中约定收取代理服务费。</w:t>
      </w:r>
    </w:p>
    <w:p w14:paraId="7A0EED6D" w14:textId="77777777" w:rsidR="00A925F8" w:rsidRDefault="00A925F8" w:rsidP="00A925F8">
      <w:pPr>
        <w:autoSpaceDE w:val="0"/>
        <w:autoSpaceDN w:val="0"/>
        <w:adjustRightInd w:val="0"/>
        <w:spacing w:line="560" w:lineRule="exact"/>
        <w:ind w:firstLine="562"/>
        <w:rPr>
          <w:rFonts w:ascii="仿宋_GB2312" w:eastAsia="仿宋_GB2312" w:hAnsi="仿宋_GB2312" w:cs="仿宋_GB2312" w:hint="eastAsia"/>
          <w:sz w:val="32"/>
          <w:szCs w:val="32"/>
        </w:rPr>
      </w:pPr>
      <w:r>
        <w:rPr>
          <w:rFonts w:ascii="仿宋_GB2312" w:eastAsia="仿宋_GB2312" w:hint="eastAsia"/>
          <w:sz w:val="32"/>
          <w:szCs w:val="32"/>
        </w:rPr>
        <w:t>（五）违约责任：以合同签订的违约责任确定。</w:t>
      </w:r>
    </w:p>
    <w:p w14:paraId="29B77625" w14:textId="77777777" w:rsidR="00A925F8" w:rsidRDefault="00A925F8" w:rsidP="00A925F8">
      <w:pPr>
        <w:pStyle w:val="a3"/>
        <w:kinsoku w:val="0"/>
        <w:overflowPunct w:val="0"/>
        <w:autoSpaceDE w:val="0"/>
        <w:autoSpaceDN w:val="0"/>
        <w:adjustRightInd w:val="0"/>
        <w:spacing w:line="560" w:lineRule="exact"/>
        <w:rPr>
          <w:rFonts w:ascii="仿宋_GB2312" w:eastAsia="仿宋_GB2312" w:hAnsi="仿宋_GB2312" w:cs="仿宋_GB2312"/>
          <w:szCs w:val="32"/>
        </w:rPr>
      </w:pPr>
    </w:p>
    <w:p w14:paraId="7E3C338B" w14:textId="77777777" w:rsidR="00A925F8" w:rsidRDefault="00A925F8" w:rsidP="00A925F8">
      <w:pPr>
        <w:pStyle w:val="a3"/>
        <w:kinsoku w:val="0"/>
        <w:overflowPunct w:val="0"/>
        <w:autoSpaceDE w:val="0"/>
        <w:autoSpaceDN w:val="0"/>
        <w:adjustRightInd w:val="0"/>
        <w:spacing w:line="560" w:lineRule="exact"/>
        <w:rPr>
          <w:rFonts w:ascii="仿宋_GB2312" w:eastAsia="仿宋_GB2312" w:hAnsi="仿宋_GB2312" w:cs="仿宋_GB2312"/>
          <w:szCs w:val="32"/>
        </w:rPr>
      </w:pPr>
    </w:p>
    <w:p w14:paraId="66924DFC" w14:textId="77777777" w:rsidR="00A925F8" w:rsidRDefault="00A925F8" w:rsidP="00A925F8">
      <w:pPr>
        <w:pStyle w:val="a3"/>
        <w:kinsoku w:val="0"/>
        <w:wordWrap w:val="0"/>
        <w:overflowPunct w:val="0"/>
        <w:autoSpaceDE w:val="0"/>
        <w:autoSpaceDN w:val="0"/>
        <w:adjustRightInd w:val="0"/>
        <w:spacing w:line="560" w:lineRule="exact"/>
        <w:ind w:firstLineChars="200" w:firstLine="640"/>
        <w:jc w:val="center"/>
        <w:rPr>
          <w:rFonts w:ascii="仿宋_GB2312" w:eastAsia="仿宋_GB2312" w:hAnsi="仿宋_GB2312" w:cs="仿宋_GB2312"/>
          <w:szCs w:val="32"/>
        </w:rPr>
      </w:pPr>
      <w:r>
        <w:rPr>
          <w:rFonts w:ascii="仿宋_GB2312" w:eastAsia="仿宋_GB2312" w:hAnsi="仿宋_GB2312" w:cs="仿宋_GB2312"/>
          <w:szCs w:val="32"/>
        </w:rPr>
        <w:t xml:space="preserve">                深圳市残疾人综合服务中心  </w:t>
      </w:r>
    </w:p>
    <w:p w14:paraId="4974A4B8" w14:textId="3D8E6650" w:rsidR="005F1FEF" w:rsidRPr="00A925F8" w:rsidRDefault="00A925F8" w:rsidP="00A925F8">
      <w:pPr>
        <w:spacing w:line="560" w:lineRule="exact"/>
        <w:ind w:firstLineChars="1400" w:firstLine="4480"/>
        <w:rPr>
          <w:rFonts w:ascii="仿宋_GB2312" w:eastAsia="仿宋_GB2312" w:hAnsiTheme="minorEastAsia" w:hint="eastAsia"/>
          <w:sz w:val="32"/>
          <w:szCs w:val="32"/>
        </w:rPr>
      </w:pPr>
      <w:r>
        <w:rPr>
          <w:rFonts w:ascii="仿宋_GB2312" w:eastAsia="仿宋_GB2312" w:hAnsi="宋体" w:cs="Times New Roman" w:hint="eastAsia"/>
          <w:sz w:val="32"/>
          <w:szCs w:val="32"/>
        </w:rPr>
        <w:t>2024年12月16日</w:t>
      </w:r>
    </w:p>
    <w:sectPr w:rsidR="005F1FEF" w:rsidRPr="00A925F8" w:rsidSect="00A925F8">
      <w:footerReference w:type="default" r:id="rId5"/>
      <w:pgSz w:w="11906" w:h="16838"/>
      <w:pgMar w:top="1610" w:right="1633" w:bottom="1610" w:left="1633"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C3C50" w14:textId="77777777" w:rsidR="00000000" w:rsidRDefault="00000000">
    <w:pPr>
      <w:pStyle w:val="a5"/>
    </w:pPr>
    <w:r>
      <w:rPr>
        <w:noProof/>
      </w:rPr>
      <mc:AlternateContent>
        <mc:Choice Requires="wps">
          <w:drawing>
            <wp:anchor distT="0" distB="0" distL="114300" distR="114300" simplePos="0" relativeHeight="251659264" behindDoc="0" locked="0" layoutInCell="1" allowOverlap="1" wp14:anchorId="6880DCAC" wp14:editId="329E9C6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9016E" w14:textId="77777777" w:rsidR="00000000"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80DCA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A9016E" w14:textId="77777777" w:rsidR="00000000"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5C2BEE"/>
    <w:multiLevelType w:val="singleLevel"/>
    <w:tmpl w:val="C75C2BEE"/>
    <w:lvl w:ilvl="0">
      <w:start w:val="3"/>
      <w:numFmt w:val="chineseCounting"/>
      <w:suff w:val="nothing"/>
      <w:lvlText w:val="%1、"/>
      <w:lvlJc w:val="left"/>
      <w:rPr>
        <w:rFonts w:hint="eastAsia"/>
      </w:rPr>
    </w:lvl>
  </w:abstractNum>
  <w:num w:numId="1" w16cid:durableId="115680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F8"/>
    <w:rsid w:val="005F1FEF"/>
    <w:rsid w:val="007F20B6"/>
    <w:rsid w:val="00A92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2525"/>
  <w15:chartTrackingRefBased/>
  <w15:docId w15:val="{4F03E5A1-C247-4B28-A3C2-4AB75EA8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A925F8"/>
    <w:rPr>
      <w:rFonts w:hint="eastAsia"/>
      <w:sz w:val="32"/>
    </w:rPr>
  </w:style>
  <w:style w:type="character" w:customStyle="1" w:styleId="a4">
    <w:name w:val="正文文本 字符"/>
    <w:basedOn w:val="a0"/>
    <w:link w:val="a3"/>
    <w:uiPriority w:val="99"/>
    <w:rsid w:val="00A925F8"/>
    <w:rPr>
      <w:sz w:val="32"/>
    </w:rPr>
  </w:style>
  <w:style w:type="paragraph" w:styleId="a5">
    <w:name w:val="footer"/>
    <w:basedOn w:val="a"/>
    <w:link w:val="a6"/>
    <w:uiPriority w:val="99"/>
    <w:unhideWhenUsed/>
    <w:qFormat/>
    <w:rsid w:val="00A925F8"/>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925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2024-12-16T02:48:00Z</dcterms:created>
  <dcterms:modified xsi:type="dcterms:W3CDTF">2024-12-16T02:50:00Z</dcterms:modified>
</cp:coreProperties>
</file>