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right"/>
        <w:rPr>
          <w:rFonts w:asciiTheme="majorEastAsia" w:eastAsiaTheme="majorEastAsia" w:hAnsiTheme="majorEastAsia" w:cstheme="majorEastAsia"/>
          <w:b/>
          <w:color w:val="auto"/>
          <w:sz w:val="32"/>
          <w:szCs w:val="32"/>
          <w:highlight w:val="none"/>
        </w:rPr>
      </w:pPr>
      <w:r>
        <w:rPr>
          <w:rFonts w:asciiTheme="majorEastAsia" w:eastAsiaTheme="majorEastAsia" w:hAnsiTheme="majorEastAsia" w:cstheme="majorEastAsia" w:hint="eastAsia"/>
          <w:b/>
          <w:color w:val="auto"/>
          <w:sz w:val="32"/>
          <w:szCs w:val="32"/>
          <w:highlight w:val="none"/>
        </w:rPr>
        <w:t>中国·深圳</w:t>
      </w:r>
    </w:p>
    <w:p>
      <w:pPr>
        <w:spacing w:line="1000" w:lineRule="exact"/>
        <w:rPr>
          <w:rFonts w:asciiTheme="majorEastAsia" w:eastAsiaTheme="majorEastAsia" w:hAnsiTheme="majorEastAsia" w:cstheme="majorEastAsia"/>
          <w:b/>
          <w:color w:val="auto"/>
          <w:sz w:val="52"/>
          <w:szCs w:val="52"/>
          <w:highlight w:val="none"/>
        </w:rPr>
      </w:pPr>
    </w:p>
    <w:p>
      <w:pPr>
        <w:spacing w:line="1000" w:lineRule="exact"/>
        <w:jc w:val="center"/>
        <w:outlineLvl w:val="0"/>
        <w:rPr>
          <w:rFonts w:ascii="微软雅黑" w:eastAsia="微软雅黑" w:hAnsi="微软雅黑" w:cs="微软雅黑"/>
          <w:b/>
          <w:color w:val="auto"/>
          <w:sz w:val="80"/>
          <w:szCs w:val="80"/>
          <w:highlight w:val="none"/>
        </w:rPr>
      </w:pPr>
      <w:r>
        <w:rPr>
          <w:rFonts w:ascii="微软雅黑" w:eastAsia="微软雅黑" w:hAnsi="微软雅黑" w:cs="微软雅黑" w:hint="eastAsia"/>
          <w:b/>
          <w:color w:val="auto"/>
          <w:sz w:val="80"/>
          <w:szCs w:val="80"/>
          <w:highlight w:val="none"/>
        </w:rPr>
        <w:t>国内公开招标文件</w:t>
      </w:r>
    </w:p>
    <w:p>
      <w:pPr>
        <w:spacing w:line="1000" w:lineRule="exact"/>
        <w:jc w:val="center"/>
        <w:rPr>
          <w:rFonts w:ascii="楷体" w:eastAsia="楷体" w:hAnsi="楷体" w:cs="楷体"/>
          <w:b/>
          <w:color w:val="auto"/>
          <w:sz w:val="52"/>
          <w:szCs w:val="52"/>
          <w:highlight w:val="none"/>
        </w:rPr>
      </w:pPr>
      <w:r>
        <w:rPr>
          <w:rFonts w:ascii="楷体" w:eastAsia="楷体" w:hAnsi="楷体" w:cs="楷体" w:hint="eastAsia"/>
          <w:b/>
          <w:color w:val="auto"/>
          <w:sz w:val="52"/>
          <w:szCs w:val="52"/>
          <w:highlight w:val="none"/>
        </w:rPr>
        <w:t>（政府采购-服务类）</w:t>
      </w:r>
    </w:p>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tbl>
      <w:tblPr>
        <w:tblStyle w:val="TableNormal"/>
        <w:tblW w:w="6810" w:type="dxa"/>
        <w:jc w:val="center"/>
        <w:tblLayout w:type="fixed"/>
        <w:tblCellMar>
          <w:top w:w="0" w:type="dxa"/>
          <w:left w:w="108" w:type="dxa"/>
          <w:bottom w:w="0" w:type="dxa"/>
          <w:right w:w="108" w:type="dxa"/>
        </w:tblCellMar>
      </w:tblPr>
      <w:tblGrid>
        <w:gridCol w:w="1707"/>
        <w:gridCol w:w="5103"/>
      </w:tblGrid>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项目名称：</w:t>
            </w:r>
          </w:p>
        </w:tc>
        <w:tc>
          <w:tcPr>
            <w:tcW w:w="5103" w:type="dxa"/>
          </w:tcPr>
          <w:p>
            <w:pPr>
              <w:spacing w:line="0" w:lineRule="atLeast"/>
              <w:rPr>
                <w:rFonts w:ascii="宋体" w:hAnsi="宋体"/>
                <w:bCs/>
                <w:color w:val="auto"/>
                <w:sz w:val="32"/>
                <w:szCs w:val="32"/>
                <w:highlight w:val="none"/>
              </w:rPr>
            </w:pPr>
            <w:r>
              <w:rPr>
                <w:rFonts w:ascii="宋体" w:hAnsi="宋体" w:hint="eastAsia"/>
                <w:bCs/>
                <w:color w:val="auto"/>
                <w:sz w:val="32"/>
                <w:szCs w:val="32"/>
                <w:highlight w:val="none"/>
              </w:rPr>
              <w:t>2024年度无障碍城市建设</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项目编号：</w:t>
            </w:r>
          </w:p>
        </w:tc>
        <w:tc>
          <w:tcPr>
            <w:tcW w:w="5103" w:type="dxa"/>
          </w:tcPr>
          <w:p>
            <w:pPr>
              <w:spacing w:line="0" w:lineRule="atLeast"/>
              <w:rPr>
                <w:rFonts w:ascii="宋体" w:hAnsi="宋体"/>
                <w:color w:val="auto"/>
                <w:sz w:val="32"/>
                <w:szCs w:val="32"/>
                <w:highlight w:val="none"/>
              </w:rPr>
            </w:pPr>
            <w:r>
              <w:rPr>
                <w:rFonts w:ascii="宋体" w:hAnsi="宋体" w:hint="eastAsia"/>
                <w:color w:val="auto"/>
                <w:sz w:val="32"/>
                <w:szCs w:val="32"/>
                <w:highlight w:val="none"/>
              </w:rPr>
              <w:t>SZDL2023002548</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采购单位：</w:t>
            </w:r>
          </w:p>
        </w:tc>
        <w:tc>
          <w:tcPr>
            <w:tcW w:w="5103" w:type="dxa"/>
          </w:tcPr>
          <w:p>
            <w:pPr>
              <w:spacing w:line="0" w:lineRule="atLeast"/>
              <w:rPr>
                <w:rFonts w:ascii="宋体" w:hAnsi="宋体"/>
                <w:color w:val="auto"/>
                <w:sz w:val="32"/>
                <w:szCs w:val="32"/>
                <w:highlight w:val="none"/>
              </w:rPr>
            </w:pPr>
            <w:r>
              <w:rPr>
                <w:rFonts w:ascii="宋体" w:hAnsi="宋体" w:hint="eastAsia"/>
                <w:color w:val="auto"/>
                <w:sz w:val="32"/>
                <w:szCs w:val="32"/>
                <w:highlight w:val="none"/>
              </w:rPr>
              <w:t>深圳市残疾人联合会</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lang w:eastAsia="zh-CN"/>
              </w:rPr>
              <w:t>代理机构</w:t>
            </w:r>
            <w:r>
              <w:rPr>
                <w:rFonts w:ascii="宋体" w:hAnsi="宋体" w:hint="eastAsia"/>
                <w:b/>
                <w:color w:val="auto"/>
                <w:sz w:val="32"/>
                <w:szCs w:val="32"/>
                <w:highlight w:val="none"/>
              </w:rPr>
              <w:t>：</w:t>
            </w:r>
          </w:p>
        </w:tc>
        <w:tc>
          <w:tcPr>
            <w:tcW w:w="5103" w:type="dxa"/>
          </w:tcPr>
          <w:p>
            <w:pPr>
              <w:spacing w:line="0" w:lineRule="atLeast"/>
              <w:rPr>
                <w:rFonts w:ascii="宋体" w:hAnsi="宋体"/>
                <w:color w:val="auto"/>
                <w:sz w:val="32"/>
                <w:szCs w:val="32"/>
                <w:highlight w:val="none"/>
              </w:rPr>
            </w:pPr>
            <w:r>
              <w:rPr>
                <w:rFonts w:ascii="宋体" w:hAnsi="宋体" w:hint="eastAsia"/>
                <w:color w:val="auto"/>
                <w:sz w:val="32"/>
                <w:szCs w:val="32"/>
                <w:highlight w:val="none"/>
              </w:rPr>
              <w:t>深圳交易咨询集团有限公司</w:t>
            </w:r>
          </w:p>
        </w:tc>
      </w:tr>
    </w:tbl>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p>
      <w:pPr>
        <w:jc w:val="center"/>
        <w:rPr>
          <w:rFonts w:asciiTheme="majorEastAsia" w:eastAsiaTheme="majorEastAsia" w:hAnsiTheme="majorEastAsia" w:cstheme="majorEastAsia" w:hint="eastAsia"/>
          <w:b/>
          <w:color w:val="auto"/>
          <w:sz w:val="52"/>
          <w:szCs w:val="52"/>
          <w:highlight w:val="none"/>
          <w:lang w:eastAsia="zh-CN"/>
        </w:rPr>
      </w:pPr>
      <w:r>
        <w:rPr>
          <w:rFonts w:asciiTheme="majorEastAsia" w:eastAsiaTheme="majorEastAsia" w:hAnsiTheme="majorEastAsia" w:cstheme="majorEastAsia" w:hint="eastAsia"/>
          <w:b/>
          <w:color w:val="auto"/>
          <w:sz w:val="52"/>
          <w:szCs w:val="52"/>
          <w:highlight w:val="none"/>
          <w:lang w:eastAsia="zh-CN"/>
        </w:rPr>
        <w:drawing>
          <wp:inline distT="0" distB="0" distL="114300" distR="114300">
            <wp:extent cx="2143760" cy="1023620"/>
            <wp:effectExtent l="0" t="0" r="8890" b="5080"/>
            <wp:docPr id="1" name="图片 1"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深圳交易咨询集团-竖版透明底logo"/>
                    <pic:cNvPicPr>
                      <a:picLocks noChangeAspect="1"/>
                    </pic:cNvPicPr>
                  </pic:nvPicPr>
                  <pic:blipFill>
                    <a:blip xmlns:r="http://schemas.openxmlformats.org/officeDocument/2006/relationships" r:embed="rId5"/>
                    <a:stretch>
                      <a:fillRect/>
                    </a:stretch>
                  </pic:blipFill>
                  <pic:spPr>
                    <a:xfrm>
                      <a:off x="0" y="0"/>
                      <a:ext cx="2143760" cy="1023620"/>
                    </a:xfrm>
                    <a:prstGeom prst="rect">
                      <a:avLst/>
                    </a:prstGeom>
                  </pic:spPr>
                </pic:pic>
              </a:graphicData>
            </a:graphic>
          </wp:inline>
        </w:drawing>
      </w:r>
    </w:p>
    <w:p>
      <w:pPr>
        <w:spacing w:line="600" w:lineRule="exact"/>
        <w:jc w:val="center"/>
        <w:rPr>
          <w:rFonts w:ascii="微软雅黑" w:eastAsia="微软雅黑" w:hAnsi="微软雅黑" w:cs="微软雅黑"/>
          <w:b/>
          <w:color w:val="auto"/>
          <w:sz w:val="36"/>
          <w:szCs w:val="36"/>
          <w:highlight w:val="none"/>
        </w:rPr>
      </w:pPr>
      <w:r>
        <w:rPr>
          <w:rFonts w:asciiTheme="majorEastAsia" w:eastAsiaTheme="majorEastAsia" w:hAnsiTheme="majorEastAsia" w:cstheme="majorEastAsia" w:hint="eastAsia"/>
          <w:color w:val="auto"/>
          <w:sz w:val="36"/>
          <w:szCs w:val="36"/>
          <w:highlight w:val="none"/>
        </w:rPr>
        <w:t>二〇二</w:t>
      </w:r>
      <w:r>
        <w:rPr>
          <w:rFonts w:asciiTheme="majorEastAsia" w:eastAsiaTheme="majorEastAsia" w:hAnsiTheme="majorEastAsia" w:cstheme="majorEastAsia" w:hint="eastAsia"/>
          <w:color w:val="auto"/>
          <w:sz w:val="36"/>
          <w:szCs w:val="36"/>
          <w:highlight w:val="none"/>
          <w:lang w:eastAsia="zh-CN"/>
        </w:rPr>
        <w:t>三</w:t>
      </w:r>
      <w:r>
        <w:rPr>
          <w:rFonts w:asciiTheme="majorEastAsia" w:eastAsiaTheme="majorEastAsia" w:hAnsiTheme="majorEastAsia" w:cstheme="majorEastAsia" w:hint="eastAsia"/>
          <w:color w:val="auto"/>
          <w:sz w:val="36"/>
          <w:szCs w:val="36"/>
          <w:highlight w:val="none"/>
        </w:rPr>
        <w:t>年</w:t>
      </w:r>
      <w:r>
        <w:rPr>
          <w:rFonts w:asciiTheme="majorEastAsia" w:eastAsiaTheme="majorEastAsia" w:hAnsiTheme="majorEastAsia" w:cstheme="majorEastAsia" w:hint="eastAsia"/>
          <w:color w:val="auto"/>
          <w:sz w:val="36"/>
          <w:szCs w:val="36"/>
          <w:highlight w:val="none"/>
          <w:lang w:val="en-US" w:eastAsia="zh-CN"/>
        </w:rPr>
        <w:t>十二</w:t>
      </w:r>
      <w:r>
        <w:rPr>
          <w:rFonts w:asciiTheme="majorEastAsia" w:eastAsiaTheme="majorEastAsia" w:hAnsiTheme="majorEastAsia" w:cstheme="majorEastAsia" w:hint="eastAsia"/>
          <w:color w:val="auto"/>
          <w:sz w:val="36"/>
          <w:szCs w:val="36"/>
          <w:highlight w:val="none"/>
        </w:rPr>
        <w:t>月</w:t>
      </w:r>
    </w:p>
    <w:p>
      <w:pPr>
        <w:pStyle w:val="Date"/>
        <w:spacing w:line="440" w:lineRule="exact"/>
        <w:jc w:val="center"/>
        <w:outlineLvl w:val="0"/>
        <w:rPr>
          <w:rFonts w:ascii="微软雅黑" w:eastAsia="微软雅黑" w:hAnsi="微软雅黑" w:cs="微软雅黑" w:hint="eastAsia"/>
          <w:b/>
          <w:color w:val="auto"/>
          <w:szCs w:val="32"/>
          <w:highlight w:val="none"/>
        </w:rPr>
        <w:sectPr>
          <w:headerReference w:type="default" r:id="rId6"/>
          <w:footerReference w:type="even" r:id="rId7"/>
          <w:pgSz w:w="11907" w:h="16840"/>
          <w:pgMar w:top="1440" w:right="1797" w:bottom="1440" w:left="1797" w:header="851" w:footer="992" w:gutter="0"/>
          <w:pgNumType w:start="0"/>
          <w:cols w:num="1" w:space="425"/>
          <w:titlePg/>
          <w:docGrid w:type="lines" w:linePitch="462" w:charSpace="0"/>
        </w:sectPr>
      </w:pPr>
      <w:bookmarkStart w:id="0" w:name="_Toc24946"/>
    </w:p>
    <w:p>
      <w:pPr>
        <w:pStyle w:val="Date"/>
        <w:spacing w:line="440" w:lineRule="exact"/>
        <w:jc w:val="center"/>
        <w:outlineLvl w:val="0"/>
        <w:rPr>
          <w:rFonts w:ascii="微软雅黑" w:eastAsia="微软雅黑" w:hAnsi="微软雅黑" w:cs="微软雅黑"/>
          <w:b/>
          <w:color w:val="auto"/>
          <w:szCs w:val="32"/>
          <w:highlight w:val="none"/>
        </w:rPr>
      </w:pPr>
      <w:r>
        <w:rPr>
          <w:rFonts w:ascii="微软雅黑" w:eastAsia="微软雅黑" w:hAnsi="微软雅黑" w:cs="微软雅黑" w:hint="eastAsia"/>
          <w:b/>
          <w:color w:val="auto"/>
          <w:szCs w:val="32"/>
          <w:highlight w:val="none"/>
        </w:rPr>
        <w:t>特别警示条款</w:t>
      </w:r>
      <w:bookmarkEnd w:id="0"/>
    </w:p>
    <w:p>
      <w:pPr>
        <w:spacing w:line="390" w:lineRule="exact"/>
        <w:ind w:firstLine="420" w:firstLineChars="200"/>
        <w:rPr>
          <w:rFonts w:asciiTheme="minorEastAsia" w:eastAsiaTheme="minorEastAsia" w:hAnsiTheme="minorEastAsia"/>
          <w:color w:val="auto"/>
          <w:szCs w:val="21"/>
          <w:highlight w:val="none"/>
        </w:rPr>
      </w:pP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（一）在采购活动中应当回避而未回避的；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（二）未按本条例规定签订、履行采购合同，造成严重后果的；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（三）隐瞒真实情况，提供虚假资料的；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（四）以非法手段排斥其他供应商参与竞争的；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（五）与其他采购参加人串通投标的；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（六）恶意投诉的；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（七）向采购项目相关人行贿或者提供其他不当利益的；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（八）阻碍、抗拒主管部门监督检查的；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（九）其他违反本条例规定的行为。</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二、根据深财购[2021]45号文规定，进一步规范投标供应商资质审查：</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（一）依据《中华人民共和国政府采购法实施条例》第十八条规定，单位负责人为同一人或者存在直接控股、管理关系的不同供应商，不得参加同一合同项下的政府采购活动。</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w:t>
      </w:r>
      <w:r>
        <w:rPr>
          <w:rFonts w:asciiTheme="minorEastAsia" w:eastAsiaTheme="minorEastAsia" w:hAnsiTheme="minorEastAsia" w:hint="eastAsia"/>
          <w:color w:val="auto"/>
          <w:szCs w:val="21"/>
          <w:highlight w:val="none"/>
        </w:rPr>
        <w:t>有权</w:t>
      </w:r>
      <w:r>
        <w:rPr>
          <w:rFonts w:asciiTheme="minorEastAsia" w:eastAsiaTheme="minorEastAsia" w:hAnsiTheme="minorEastAsia"/>
          <w:color w:val="auto"/>
          <w:szCs w:val="21"/>
          <w:highlight w:val="none"/>
        </w:rPr>
        <w:t>要求其在评标现场合理的时间内提供书面说明，必要时提交相关证明材料。</w:t>
      </w:r>
    </w:p>
    <w:p>
      <w:pPr>
        <w:spacing w:line="390" w:lineRule="exact"/>
        <w:ind w:firstLine="420" w:firstLineChars="200"/>
        <w:rPr>
          <w:rFonts w:ascii="宋体" w:hAnsi="宋体"/>
          <w:color w:val="auto"/>
          <w:spacing w:val="20"/>
          <w:sz w:val="44"/>
          <w:highlight w:val="none"/>
        </w:rPr>
      </w:pPr>
      <w:r>
        <w:rPr>
          <w:rFonts w:asciiTheme="minorEastAsia" w:eastAsiaTheme="minorEastAsia" w:hAnsiTheme="minorEastAsia"/>
          <w:color w:val="auto"/>
          <w:szCs w:val="21"/>
          <w:highlight w:val="none"/>
        </w:rPr>
        <w:t>（三）经核实，投标供应商确实存在《中华人民共和国政府采购法实施条例》第十八条规定情形的，依法认定其投标无效，涉嫌存在串通投标等违法行为的，书面报告同级财政部门。</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目  录</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第一册  专用条款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关键信息</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招标公告</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用户需求书</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投标文件格式、附件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合同条款及格式</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招标代理服务费</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第二册  通用条款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总则</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招标文件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投标文件的编制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投标文件的递交</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开标</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第六章  评标要求</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第七章  评标程序及评标方法</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第八章  定标及公示</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第九章  公开招标失败的后续处理</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第十章  合同的授予与备案</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第十一章  质疑处理</w:t>
      </w:r>
    </w:p>
    <w:p>
      <w:pPr>
        <w:spacing w:line="440" w:lineRule="exact"/>
        <w:rPr>
          <w:rFonts w:asciiTheme="majorEastAsia" w:eastAsiaTheme="majorEastAsia" w:hAnsiTheme="majorEastAsia" w:cstheme="majorEastAsia"/>
          <w:color w:val="auto"/>
          <w:szCs w:val="21"/>
          <w:highlight w:val="none"/>
        </w:rPr>
      </w:pP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1、本招标文件分为第一册“专用条款”和第二册“通用条款”；</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2、“专用条款”是对本次采购项目的具体要求，包含招标公告、用户需求书、投标文件格式、合同条款及格式、附件等内容；</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3、“通用条款”是通用于政府采购项目的基础性条款，具有普遍性和通用性；</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4、当出现“专用条款”和“通用条款”表述不一致或有冲突时，以“专用条款”为准。</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第一册  专用条款</w:t>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关键信息</w:t>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招标文件信息</w:t>
      </w:r>
    </w:p>
    <w:tbl>
      <w:tblPr>
        <w:tblStyle w:val="TableGrid"/>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3"/>
        <w:gridCol w:w="7064"/>
      </w:tblGrid>
      <w:tr>
        <w:tblPrEx>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项目编号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SZDL2023002548</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2024年度无障碍城市建设</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    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服务类</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采购方式</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公开招标</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货币类型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评标方法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综合评分法（新价格分算法）</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定标办法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授权评标委员会确定中标单位（具体方法详见“第二册通用条款第八章”）</w:t>
            </w:r>
          </w:p>
        </w:tc>
      </w:tr>
    </w:tbl>
    <w:p>
      <w:pPr>
        <w:spacing w:line="400" w:lineRule="exact"/>
        <w:rPr>
          <w:rFonts w:asciiTheme="majorEastAsia" w:eastAsiaTheme="majorEastAsia" w:hAnsiTheme="majorEastAsia" w:cstheme="majorEastAsia"/>
          <w:color w:val="auto"/>
          <w:sz w:val="28"/>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资格性审查表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7"/>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67"/>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投标人不具备招标文件所列的资格要求，或未提交相应的资格证明资料（详见招标公告投标人资格要求）；</w:t>
            </w:r>
          </w:p>
        </w:tc>
      </w:tr>
    </w:tbl>
    <w:p>
      <w:pPr>
        <w:spacing w:line="0" w:lineRule="atLeast"/>
        <w:jc w:val="left"/>
        <w:rPr>
          <w:rFonts w:asciiTheme="majorEastAsia" w:eastAsiaTheme="majorEastAsia" w:hAnsiTheme="majorEastAsia" w:cstheme="majorEastAsia"/>
          <w:color w:val="auto"/>
          <w:szCs w:val="28"/>
          <w:highlight w:val="none"/>
        </w:rPr>
      </w:pP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符合性审查表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将一个包或一个标段的内容拆开投标；</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对同一项目投标时，提供两套以上的投标方案（招标文件另有规定的除外）；</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分项报价或投标总价高于预算金额（</w:t>
            </w:r>
            <w:r>
              <w:rPr>
                <w:rFonts w:hint="eastAsia"/>
                <w:color w:val="auto"/>
                <w:highlight w:val="none"/>
              </w:rPr>
              <w:t>或设定的财政预算金额下的最高限价</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同一项目出现两个及以上报价，且按规定无法确定哪个是有效报价；</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r>
              <w:rPr>
                <w:rFonts w:asciiTheme="minorEastAsia" w:eastAsiaTheme="minorEastAsia" w:hAnsiTheme="minorEastAsia" w:hint="eastAsia"/>
                <w:color w:val="auto"/>
                <w:szCs w:val="21"/>
                <w:highlight w:val="none"/>
              </w:rPr>
              <w:t>（若评审委员会成员对是否须由投标人作出报价合理性说明，以及书面说明是否采纳等判断不一致的，按照“少数服从多数”的原则确定评审委员会的意见）</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所投货物、服务在商务、技术等方面没有实质性满足招标文件要求的（是否实质性满足招标文件要求，由评标委员会根据《实质性响应条款偏离表》做出评判）；</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7</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未按招标文件所提供的样式填写《投标函》；未按招标文件所提供的《政府采购投标及履约承诺函》进行承诺；未按招标文件对投标文件组成的要求提供投标文件的（投标文件组成不完整）；</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8</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投标报价有缺漏项目，或者对招标文件规定的项目需求内容或者需求数量进行修改，评审委员会判定投标响应不满足采购需求；</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9</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投标文件存在列放位置错误，导致属于信息公开情形的没有被公开；</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10</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投标文件电子文档带病毒；</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11</w:t>
            </w:r>
          </w:p>
        </w:tc>
        <w:tc>
          <w:tcPr>
            <w:tcW w:w="7435" w:type="dxa"/>
            <w:vAlign w:val="center"/>
          </w:tcPr>
          <w:p>
            <w:pPr>
              <w:pStyle w:val="CommentTex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kern w:val="2"/>
                <w:sz w:val="21"/>
                <w:szCs w:val="21"/>
                <w:highlight w:val="none"/>
              </w:rPr>
              <w:t>投标人未在本项目解密截止时间前完成投标文件在线解密；</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法律、法规、规章、规范性文件规定的其他情形。</w:t>
            </w:r>
          </w:p>
        </w:tc>
      </w:tr>
    </w:tbl>
    <w:p>
      <w:pPr>
        <w:spacing w:line="340" w:lineRule="exact"/>
        <w:ind w:firstLine="420"/>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color w:val="auto"/>
          <w:highlight w:val="none"/>
        </w:rPr>
        <w:t>备注：凡有上列情形之一的，《资格性审查表》或《符合性审查表》初审不通过，按投标无效处理。</w:t>
      </w:r>
      <w:r>
        <w:rPr>
          <w:rFonts w:hint="eastAsia"/>
          <w:b/>
          <w:color w:val="auto"/>
          <w:szCs w:val="21"/>
          <w:highlight w:val="none"/>
        </w:rPr>
        <w:t>评标委员会在作资格性审查和符合性审查之前，将查看并比对各投标供应商标书的文件特征码、文件制作机器码、文本内容相似度等标书雷同性分析情况。</w:t>
      </w:r>
    </w:p>
    <w:p>
      <w:pPr>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bCs/>
          <w:color w:val="auto"/>
          <w:sz w:val="32"/>
          <w:szCs w:val="32"/>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 w:val="32"/>
          <w:highlight w:val="none"/>
        </w:rPr>
      </w:pPr>
      <w:r>
        <w:rPr>
          <w:rFonts w:asciiTheme="majorEastAsia" w:eastAsiaTheme="majorEastAsia" w:hAnsiTheme="majorEastAsia" w:cstheme="majorEastAsia" w:hint="eastAsia"/>
          <w:color w:val="auto"/>
          <w:sz w:val="32"/>
          <w:highlight w:val="none"/>
        </w:rPr>
        <w:t>评标信息</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一、评标方法</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1、综合评分法：详见“第二册 通用条款”第七章。</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（1）价格分计算方法：</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采用低价优先法计算，即满足招标文件要求且投标价格最低的投标报价为评标基准价，其价格分为满分。其他投标人的价格分统一按照下列公式计算： </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rPr>
        <w:t xml:space="preserve">    投标报价得分=(评标基准价／投标报价)×100 </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rPr>
        <w:t xml:space="preserve">    评标过程中，不得去掉报价中的最高报价和最低报价。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（2）评标总得分：</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评标总得分＝F1×A1＋F2×A2＋……＋Fn×An </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rPr>
        <w:t xml:space="preserve">    F1、F2……Fn分别为各项评审因素的得分； </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rPr>
        <w:t xml:space="preserve">    A1、A2、……An 分别为各项评审因素所占的权重(A1＋A2＋……＋An＝1)。</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Cs/>
          <w:color w:val="auto"/>
          <w:szCs w:val="21"/>
          <w:highlight w:val="none"/>
        </w:rPr>
        <w:t>（3）评分标准：详见“四、评分标准”。</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rPr>
        <w:t xml:space="preserve">    2、最低</w:t>
      </w:r>
      <w:r>
        <w:rPr>
          <w:rFonts w:asciiTheme="majorEastAsia" w:eastAsiaTheme="majorEastAsia" w:hAnsiTheme="majorEastAsia" w:cstheme="majorEastAsia" w:hint="eastAsia"/>
          <w:color w:val="auto"/>
          <w:szCs w:val="21"/>
          <w:highlight w:val="none"/>
        </w:rPr>
        <w:t>价法：</w:t>
      </w:r>
      <w:r>
        <w:rPr>
          <w:rFonts w:asciiTheme="majorEastAsia" w:eastAsiaTheme="majorEastAsia" w:hAnsiTheme="majorEastAsia" w:cstheme="majorEastAsia" w:hint="eastAsia"/>
          <w:bCs/>
          <w:color w:val="auto"/>
          <w:szCs w:val="21"/>
          <w:highlight w:val="none"/>
        </w:rPr>
        <w:t>详见“第二册 通用条款”第七章</w:t>
      </w:r>
      <w:r>
        <w:rPr>
          <w:rFonts w:asciiTheme="majorEastAsia" w:eastAsiaTheme="majorEastAsia" w:hAnsiTheme="majorEastAsia" w:cstheme="majorEastAsia" w:hint="eastAsia"/>
          <w:color w:val="auto"/>
          <w:szCs w:val="21"/>
          <w:highlight w:val="none"/>
        </w:rPr>
        <w:t>。</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二、享受优惠政策的主体及价格扣除比例</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1、小型企业、微型企业、监狱企业、残疾人福利性单位承接服务，对其价格给予</w:t>
      </w:r>
      <w:r>
        <w:rPr>
          <w:rFonts w:asciiTheme="majorEastAsia" w:eastAsiaTheme="majorEastAsia" w:hAnsiTheme="majorEastAsia" w:cstheme="majorEastAsia" w:hint="eastAsia"/>
          <w:color w:val="auto"/>
          <w:highlight w:val="none"/>
        </w:rPr>
        <w:t>10%</w:t>
      </w:r>
      <w:r>
        <w:rPr>
          <w:rFonts w:asciiTheme="majorEastAsia" w:eastAsiaTheme="majorEastAsia" w:hAnsiTheme="majorEastAsia" w:cstheme="majorEastAsia" w:hint="eastAsia"/>
          <w:color w:val="auto"/>
          <w:highlight w:val="none"/>
        </w:rPr>
        <w:t>的扣除，用扣除后的价格参与评审。满足多项优惠政策的企业，不重复享受多项价格扣除政策。</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2、接受大中型企业与</w:t>
      </w:r>
      <w:r>
        <w:rPr>
          <w:rFonts w:asciiTheme="majorEastAsia" w:eastAsiaTheme="majorEastAsia" w:hAnsiTheme="majorEastAsia" w:cstheme="majorEastAsia" w:hint="eastAsia"/>
          <w:color w:val="auto"/>
          <w:highlight w:val="none"/>
        </w:rPr>
        <w:t>小微企业组成联合体或者允许大中型企业向一家或者多家小微企业分包的采购项目，对于联合协议或者分包意向协议约定小微企业的合同份额占到合同总金额30%以上的，对联合体或者大中型企业的报价给予3%扣除，用扣除后的价格参加评审。联合体各方均为小微企业的，价格扣除比例为10%。</w:t>
      </w:r>
      <w:r>
        <w:rPr>
          <w:rFonts w:asciiTheme="majorEastAsia" w:eastAsiaTheme="majorEastAsia" w:hAnsiTheme="majorEastAsia" w:cstheme="majorEastAsia" w:hint="eastAsia"/>
          <w:b/>
          <w:color w:val="auto"/>
          <w:highlight w:val="none"/>
        </w:rPr>
        <w:t>（不接受联合体投标的项目，本条不适用）</w:t>
      </w:r>
      <w:r>
        <w:rPr>
          <w:rFonts w:asciiTheme="majorEastAsia" w:eastAsiaTheme="majorEastAsia" w:hAnsiTheme="majorEastAsia" w:cstheme="majorEastAsia" w:hint="eastAsia"/>
          <w:color w:val="auto"/>
          <w:highlight w:val="none"/>
        </w:rPr>
        <w:t>。</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3、优惠主体资格的认定资料为《中小企业声明函</w:t>
      </w:r>
      <w:r>
        <w:rPr>
          <w:rFonts w:asciiTheme="majorEastAsia" w:eastAsiaTheme="majorEastAsia" w:hAnsiTheme="majorEastAsia" w:cstheme="majorEastAsia" w:hint="eastAsia"/>
          <w:color w:val="auto"/>
          <w:highlight w:val="none"/>
        </w:rPr>
        <w:t>》《残疾人福利性单位声明函》《监狱企业声明函》等承诺性质的资料（声明函样式见“第三章 投标文件格式、附件”）；监狱企业如需享受优惠政策，除上述资料外，还须提供省级以上监狱管理局、戒毒管理局出具的监狱企业证明文件。</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三、失信供应商的价格上浮</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采取最低价法的项目，投标人</w:t>
      </w:r>
      <w:r>
        <w:rPr>
          <w:rFonts w:asciiTheme="majorEastAsia" w:eastAsiaTheme="majorEastAsia" w:hAnsiTheme="majorEastAsia" w:cstheme="majorEastAsia" w:hint="eastAsia"/>
          <w:color w:val="auto"/>
          <w:szCs w:val="21"/>
          <w:highlight w:val="none"/>
        </w:rPr>
        <w:t>在参与政府采购活动中存在诚信相关问题且在主</w:t>
      </w:r>
      <w:r>
        <w:rPr>
          <w:rFonts w:asciiTheme="majorEastAsia" w:eastAsiaTheme="majorEastAsia" w:hAnsiTheme="majorEastAsia" w:cstheme="majorEastAsia" w:hint="eastAsia"/>
          <w:color w:val="auto"/>
          <w:highlight w:val="none"/>
        </w:rPr>
        <w:t>管部门相关处理措施实施期限内的，在该企业投标报价的基础上上浮10%后参与价格评比。失信供应商符合优惠主体资格的，价格扣除和价格上浮一并执行。</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四、评分标准</w:t>
      </w:r>
    </w:p>
    <w:tbl>
      <w:tblPr>
        <w:tblStyle w:val="TableNormal"/>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684"/>
        <w:gridCol w:w="1240"/>
        <w:gridCol w:w="746"/>
        <w:gridCol w:w="5097"/>
      </w:tblGrid>
      <w:tr>
        <w:tblPrEx>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序号</w:t>
            </w:r>
          </w:p>
        </w:tc>
        <w:tc>
          <w:tcPr>
            <w:tcW w:w="2670"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评分项</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权重</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1</w:t>
            </w:r>
          </w:p>
        </w:tc>
        <w:tc>
          <w:tcPr>
            <w:tcW w:w="2670"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价格</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10</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2</w:t>
            </w:r>
          </w:p>
        </w:tc>
        <w:tc>
          <w:tcPr>
            <w:tcW w:w="2670"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技术部分</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46</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24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74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权重</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实施方案</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15</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0"/>
                <w:numId w:val="7"/>
              </w:numPr>
              <w:kinsoku/>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评审内容：在投标文件中详细说明项目服务方案，评审委员会根据投标人对项目的理解程度、技术路线、工作内容情况进行评审。</w:t>
            </w:r>
          </w:p>
          <w:p>
            <w:pPr>
              <w:keepNext w:val="0"/>
              <w:keepLines w:val="0"/>
              <w:pageBreakBefore w:val="0"/>
              <w:widowControl w:val="0"/>
              <w:numPr>
                <w:ilvl w:val="0"/>
                <w:numId w:val="0"/>
              </w:numPr>
              <w:kinsoku/>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考察点为：</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w:t>
            </w:r>
            <w:r>
              <w:rPr>
                <w:rFonts w:hint="eastAsia"/>
                <w:color w:val="auto"/>
                <w:highlight w:val="none"/>
              </w:rPr>
              <w:t>对项目的理解度；</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rPr>
              <w:t>2.</w:t>
            </w:r>
            <w:r>
              <w:rPr>
                <w:rFonts w:hint="eastAsia"/>
                <w:color w:val="auto"/>
                <w:highlight w:val="none"/>
              </w:rPr>
              <w:t>技术路线；</w:t>
            </w:r>
          </w:p>
          <w:p>
            <w:pPr>
              <w:keepNext w:val="0"/>
              <w:keepLines w:val="0"/>
              <w:pageBreakBefore w:val="0"/>
              <w:widowControl w:val="0"/>
              <w:kinsoku/>
              <w:overflowPunct/>
              <w:topLinePunct w:val="0"/>
              <w:autoSpaceDE/>
              <w:autoSpaceDN/>
              <w:bidi w:val="0"/>
              <w:adjustRightInd/>
              <w:snapToGrid/>
              <w:spacing w:line="320" w:lineRule="exact"/>
              <w:textAlignment w:val="auto"/>
              <w:rPr>
                <w:rFonts w:eastAsia="宋体" w:hint="eastAsia"/>
                <w:color w:val="auto"/>
                <w:highlight w:val="none"/>
                <w:lang w:eastAsia="zh-CN"/>
              </w:rPr>
            </w:pPr>
            <w:r>
              <w:rPr>
                <w:rFonts w:ascii="新宋体" w:eastAsia="新宋体" w:hAnsi="新宋体" w:hint="eastAsia"/>
                <w:color w:val="auto"/>
                <w:szCs w:val="21"/>
                <w:highlight w:val="none"/>
                <w:lang w:val="en-US" w:eastAsia="zh-CN"/>
              </w:rPr>
              <w:t>3</w:t>
            </w:r>
            <w:r>
              <w:rPr>
                <w:rFonts w:ascii="新宋体" w:eastAsia="新宋体" w:hAnsi="新宋体" w:hint="eastAsia"/>
                <w:color w:val="auto"/>
                <w:szCs w:val="21"/>
                <w:highlight w:val="none"/>
              </w:rPr>
              <w:t>.</w:t>
            </w:r>
            <w:r>
              <w:rPr>
                <w:rFonts w:hint="eastAsia"/>
                <w:color w:val="auto"/>
                <w:highlight w:val="none"/>
              </w:rPr>
              <w:t>工作内容</w:t>
            </w:r>
            <w:r>
              <w:rPr>
                <w:rFonts w:hint="eastAsia"/>
                <w:color w:val="auto"/>
                <w:highlight w:val="none"/>
                <w:lang w:eastAsia="zh-CN"/>
              </w:rPr>
              <w:t>。</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（二）评分标准：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lang w:val="en-US" w:eastAsia="zh-CN"/>
              </w:rPr>
            </w:pPr>
            <w:r>
              <w:rPr>
                <w:rFonts w:hint="eastAsia"/>
                <w:color w:val="auto"/>
                <w:highlight w:val="none"/>
              </w:rPr>
              <w:t>满足三点得80分，满足任意两点得50分，满足任意一点得10分，未满足不得分。 在此基础上，专家根据各投标人的具体响应内容按照量化的评审因素指标进一步评审。</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实施方案</w:t>
            </w:r>
            <w:r>
              <w:rPr>
                <w:rFonts w:hint="eastAsia"/>
                <w:color w:val="auto"/>
                <w:highlight w:val="none"/>
              </w:rPr>
              <w:t>内容全面具体；</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rPr>
              <w:t>2.</w:t>
            </w:r>
            <w:r>
              <w:rPr>
                <w:rFonts w:ascii="新宋体" w:eastAsia="新宋体" w:hAnsi="新宋体" w:hint="eastAsia"/>
                <w:color w:val="auto"/>
                <w:szCs w:val="21"/>
                <w:highlight w:val="none"/>
              </w:rPr>
              <w:t>实施方案</w:t>
            </w:r>
            <w:r>
              <w:rPr>
                <w:rFonts w:hint="eastAsia"/>
                <w:color w:val="auto"/>
                <w:highlight w:val="none"/>
              </w:rPr>
              <w:t>内容准确详实；</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3</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实施方案</w:t>
            </w:r>
            <w:r>
              <w:rPr>
                <w:rFonts w:hint="eastAsia"/>
                <w:color w:val="auto"/>
                <w:highlight w:val="none"/>
              </w:rPr>
              <w:t>内容清晰严谨；</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4</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实施方案</w:t>
            </w:r>
            <w:r>
              <w:rPr>
                <w:rFonts w:hint="eastAsia"/>
                <w:color w:val="auto"/>
                <w:highlight w:val="none"/>
              </w:rPr>
              <w:t>内容可操作性强；</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5</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实施方案</w:t>
            </w:r>
            <w:r>
              <w:rPr>
                <w:rFonts w:hint="eastAsia"/>
                <w:color w:val="auto"/>
                <w:highlight w:val="none"/>
              </w:rPr>
              <w:t>内容科学合理。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b/>
                <w:i/>
                <w:color w:val="auto"/>
                <w:szCs w:val="21"/>
                <w:highlight w:val="none"/>
                <w:u w:val="single"/>
              </w:rPr>
            </w:pPr>
            <w:r>
              <w:rPr>
                <w:rFonts w:hint="eastAsia"/>
                <w:color w:val="auto"/>
                <w:highlight w:val="none"/>
              </w:rPr>
              <w:t>满足以上五项加20分；满足任意四项加15分；满足任意三项加10分；其他情况不加分。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项目重点难点分析、应对措施及相关的合理化建议</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12</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（一）评审内容：投标文件中详细说明项目重点难点分析、应对措施及相关的合理化建议，评审委员会根据响应情况进行评审，考察点为：</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1.对项目重点难点分析；</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2.应对措施及；</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3.相关的合理化。</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（二）评分标准：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满足三点得80分，满足任意两点得50分，满足任意一点得10分，未满足不得分。 在此基础上，专家根据各投标人的具体响应内容按照量化的评审因素指标进一步评审。</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项目重点难点分析、应对措施及相关的合理化建议</w:t>
            </w:r>
            <w:r>
              <w:rPr>
                <w:rFonts w:hint="eastAsia"/>
                <w:color w:val="auto"/>
                <w:highlight w:val="none"/>
              </w:rPr>
              <w:t>内容全面具体；</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rPr>
              <w:t>2.</w:t>
            </w:r>
            <w:r>
              <w:rPr>
                <w:rFonts w:ascii="新宋体" w:eastAsia="新宋体" w:hAnsi="新宋体" w:hint="eastAsia"/>
                <w:color w:val="auto"/>
                <w:szCs w:val="21"/>
                <w:highlight w:val="none"/>
              </w:rPr>
              <w:t>项目重点难点分析、应对措施及相关的合理化建议</w:t>
            </w:r>
            <w:r>
              <w:rPr>
                <w:rFonts w:hint="eastAsia"/>
                <w:color w:val="auto"/>
                <w:highlight w:val="none"/>
              </w:rPr>
              <w:t>内容准确详实；</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3</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项目重点难点分析、应对措施及相关的合理化建议</w:t>
            </w:r>
            <w:r>
              <w:rPr>
                <w:rFonts w:hint="eastAsia"/>
                <w:color w:val="auto"/>
                <w:highlight w:val="none"/>
              </w:rPr>
              <w:t>内容清晰严谨；</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4</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项目重点难点分析、应对措施及相关的合理化建议</w:t>
            </w:r>
            <w:r>
              <w:rPr>
                <w:rFonts w:hint="eastAsia"/>
                <w:color w:val="auto"/>
                <w:highlight w:val="none"/>
              </w:rPr>
              <w:t>内容可操作性强；</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5</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项目重点难点分析、应对措施及相关的合理化建议</w:t>
            </w:r>
            <w:r>
              <w:rPr>
                <w:rFonts w:hint="eastAsia"/>
                <w:color w:val="auto"/>
                <w:highlight w:val="none"/>
              </w:rPr>
              <w:t>内容科学合理。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hint="eastAsia"/>
                <w:color w:val="auto"/>
                <w:highlight w:val="none"/>
              </w:rPr>
              <w:t>满足以上五项加20分；满足任意四项加15分；满足任意三项加10分；其他情况不加分。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质量（完成时间、安全、环保）保障措施及方案</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10</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color w:val="auto"/>
                <w:sz w:val="21"/>
                <w:szCs w:val="21"/>
                <w:highlight w:val="none"/>
                <w:lang w:eastAsia="zh-CN"/>
              </w:rPr>
            </w:pPr>
            <w:r>
              <w:rPr>
                <w:rFonts w:ascii="新宋体" w:eastAsia="新宋体" w:hAnsi="新宋体" w:hint="eastAsia"/>
                <w:color w:val="auto"/>
                <w:szCs w:val="21"/>
                <w:highlight w:val="none"/>
              </w:rPr>
              <w:t>（一）评审内容：投标文件中详细说明质量（完成时间、安全、环保）保障措施及方案，评审委员会根据响应情况进行评审</w:t>
            </w:r>
            <w:r>
              <w:rPr>
                <w:rFonts w:ascii="新宋体" w:eastAsia="新宋体" w:hAnsi="新宋体" w:hint="eastAsia"/>
                <w:color w:val="auto"/>
                <w:szCs w:val="21"/>
                <w:highlight w:val="none"/>
              </w:rPr>
              <w:t>。考察点为：</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lang w:eastAsia="zh-CN"/>
              </w:rPr>
            </w:pP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完成时间保障措施及方案</w:t>
            </w:r>
            <w:r>
              <w:rPr>
                <w:rFonts w:ascii="新宋体" w:eastAsia="新宋体" w:hAnsi="新宋体" w:hint="eastAsia"/>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lang w:eastAsia="zh-CN"/>
              </w:rPr>
            </w:pPr>
            <w:r>
              <w:rPr>
                <w:rFonts w:ascii="新宋体" w:eastAsia="新宋体" w:hAnsi="新宋体" w:hint="eastAsia"/>
                <w:color w:val="auto"/>
                <w:szCs w:val="21"/>
                <w:highlight w:val="none"/>
                <w:lang w:val="en-US" w:eastAsia="zh-CN"/>
              </w:rPr>
              <w:t>2.</w:t>
            </w:r>
            <w:r>
              <w:rPr>
                <w:rFonts w:ascii="新宋体" w:eastAsia="新宋体" w:hAnsi="新宋体" w:hint="eastAsia"/>
                <w:color w:val="auto"/>
                <w:szCs w:val="21"/>
                <w:highlight w:val="none"/>
              </w:rPr>
              <w:t>安全保障措施及方案</w:t>
            </w:r>
            <w:r>
              <w:rPr>
                <w:rFonts w:ascii="新宋体" w:eastAsia="新宋体" w:hAnsi="新宋体" w:hint="eastAsia"/>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lang w:val="en-US" w:eastAsia="zh-CN"/>
              </w:rPr>
              <w:t>3.</w:t>
            </w:r>
            <w:r>
              <w:rPr>
                <w:rFonts w:ascii="新宋体" w:eastAsia="新宋体" w:hAnsi="新宋体" w:hint="eastAsia"/>
                <w:color w:val="auto"/>
                <w:szCs w:val="21"/>
                <w:highlight w:val="none"/>
              </w:rPr>
              <w:t>环保保障措施及方案。</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（二）评分标准：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 xml:space="preserve">满足三点得80分，满足任意两点得50分，满足任意一点得10分，未满足不得分。 在此基础上，专家根据各投标人的具体响应内容按照量化的评审因素指标进一步评审。 </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质量（完成时间、安全、环保）保障措施及方案</w:t>
            </w:r>
            <w:r>
              <w:rPr>
                <w:rFonts w:hint="eastAsia"/>
                <w:color w:val="auto"/>
                <w:highlight w:val="none"/>
              </w:rPr>
              <w:t>内容全面具体；</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rPr>
              <w:t>2.</w:t>
            </w:r>
            <w:r>
              <w:rPr>
                <w:rFonts w:ascii="新宋体" w:eastAsia="新宋体" w:hAnsi="新宋体" w:hint="eastAsia"/>
                <w:color w:val="auto"/>
                <w:szCs w:val="21"/>
                <w:highlight w:val="none"/>
              </w:rPr>
              <w:t>质量（完成时间、安全、环保）保障措施及方案</w:t>
            </w:r>
            <w:r>
              <w:rPr>
                <w:rFonts w:hint="eastAsia"/>
                <w:color w:val="auto"/>
                <w:highlight w:val="none"/>
              </w:rPr>
              <w:t>内容准确详实；</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3</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质量（完成时间、安全、环保）保障措施及方案</w:t>
            </w:r>
            <w:r>
              <w:rPr>
                <w:rFonts w:hint="eastAsia"/>
                <w:color w:val="auto"/>
                <w:highlight w:val="none"/>
              </w:rPr>
              <w:t>内容清晰严谨；</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4</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质量（完成时间、安全、环保）保障措施及方案</w:t>
            </w:r>
            <w:r>
              <w:rPr>
                <w:rFonts w:hint="eastAsia"/>
                <w:color w:val="auto"/>
                <w:highlight w:val="none"/>
              </w:rPr>
              <w:t>内容可操作性强；</w:t>
            </w:r>
          </w:p>
          <w:p>
            <w:pPr>
              <w:keepNext w:val="0"/>
              <w:keepLines w:val="0"/>
              <w:pageBreakBefore w:val="0"/>
              <w:widowControl w:val="0"/>
              <w:kinsoku/>
              <w:overflowPunct/>
              <w:topLinePunct w:val="0"/>
              <w:autoSpaceDE/>
              <w:autoSpaceDN/>
              <w:bidi w:val="0"/>
              <w:adjustRightInd/>
              <w:snapToGrid/>
              <w:spacing w:line="320" w:lineRule="exact"/>
              <w:textAlignment w:val="auto"/>
              <w:rPr>
                <w:color w:val="auto"/>
                <w:highlight w:val="none"/>
              </w:rPr>
            </w:pPr>
            <w:r>
              <w:rPr>
                <w:rFonts w:ascii="新宋体" w:eastAsia="新宋体" w:hAnsi="新宋体" w:hint="eastAsia"/>
                <w:color w:val="auto"/>
                <w:szCs w:val="21"/>
                <w:highlight w:val="none"/>
                <w:lang w:val="en-US" w:eastAsia="zh-CN"/>
              </w:rPr>
              <w:t>5</w:t>
            </w:r>
            <w:r>
              <w:rPr>
                <w:rFonts w:ascii="新宋体" w:eastAsia="新宋体" w:hAnsi="新宋体" w:hint="eastAsia"/>
                <w:color w:val="auto"/>
                <w:szCs w:val="21"/>
                <w:highlight w:val="none"/>
              </w:rPr>
              <w:t>.</w:t>
            </w:r>
            <w:r>
              <w:rPr>
                <w:rFonts w:ascii="新宋体" w:eastAsia="新宋体" w:hAnsi="新宋体" w:hint="eastAsia"/>
                <w:color w:val="auto"/>
                <w:szCs w:val="21"/>
                <w:highlight w:val="none"/>
              </w:rPr>
              <w:t>质量（完成时间、安全、环保）保障措施及方案</w:t>
            </w:r>
            <w:r>
              <w:rPr>
                <w:rFonts w:hint="eastAsia"/>
                <w:color w:val="auto"/>
                <w:highlight w:val="none"/>
              </w:rPr>
              <w:t>内容科学合理。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hint="eastAsia"/>
                <w:color w:val="auto"/>
                <w:highlight w:val="none"/>
              </w:rPr>
              <w:t>满足以上五项加20分；满足任意四项加15分；满足任意三项加10分；其他情况不加分。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项目完成（服务期满）后的服务承诺</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9</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新宋体" w:eastAsia="新宋体" w:hAnsi="新宋体" w:hint="eastAsia"/>
                <w:color w:val="auto"/>
                <w:szCs w:val="21"/>
                <w:highlight w:val="none"/>
              </w:rPr>
            </w:pP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lang w:val="en-US" w:eastAsia="zh-CN"/>
              </w:rPr>
              <w:t>一</w:t>
            </w: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宋体" w:hAnsi="宋体" w:hint="eastAsia"/>
                <w:color w:val="auto"/>
                <w:szCs w:val="21"/>
                <w:highlight w:val="none"/>
              </w:rPr>
            </w:pPr>
            <w:r>
              <w:rPr>
                <w:rFonts w:ascii="宋体" w:hAnsi="宋体" w:hint="eastAsia"/>
                <w:color w:val="auto"/>
                <w:szCs w:val="21"/>
                <w:highlight w:val="none"/>
              </w:rPr>
              <w:t>投标人在投标文件中承诺</w:t>
            </w:r>
            <w:r>
              <w:rPr>
                <w:rFonts w:ascii="宋体" w:hAnsi="宋体" w:hint="eastAsia"/>
                <w:color w:val="auto"/>
                <w:szCs w:val="21"/>
                <w:highlight w:val="none"/>
                <w:lang w:eastAsia="zh-CN"/>
              </w:rPr>
              <w:t>：</w:t>
            </w:r>
            <w:r>
              <w:rPr>
                <w:rFonts w:ascii="宋体" w:hAnsi="宋体" w:hint="eastAsia"/>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宋体" w:hAnsi="宋体" w:hint="eastAsia"/>
                <w:color w:val="auto"/>
                <w:szCs w:val="21"/>
                <w:highlight w:val="none"/>
              </w:rPr>
            </w:pPr>
            <w:r>
              <w:rPr>
                <w:rFonts w:ascii="宋体" w:hAnsi="宋体" w:hint="eastAsia"/>
                <w:color w:val="auto"/>
                <w:szCs w:val="21"/>
                <w:highlight w:val="none"/>
              </w:rPr>
              <w:t xml:space="preserve">（1）主动办理交接手续，包括项目所有文档材料移交； </w:t>
            </w:r>
          </w:p>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宋体" w:hAnsi="宋体" w:hint="eastAsia"/>
                <w:color w:val="auto"/>
                <w:szCs w:val="21"/>
                <w:highlight w:val="none"/>
              </w:rPr>
            </w:pPr>
            <w:r>
              <w:rPr>
                <w:rFonts w:ascii="宋体" w:hAnsi="宋体" w:hint="eastAsia"/>
                <w:color w:val="auto"/>
                <w:szCs w:val="21"/>
                <w:highlight w:val="none"/>
              </w:rPr>
              <w:t xml:space="preserve">（2）与后续服务单位进行交接； </w:t>
            </w:r>
          </w:p>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（二）</w:t>
            </w:r>
            <w:r>
              <w:rPr>
                <w:rFonts w:hint="eastAsia"/>
                <w:color w:val="auto"/>
                <w:highlight w:val="none"/>
              </w:rPr>
              <w:t>评分标准</w:t>
            </w:r>
            <w:r>
              <w:rPr>
                <w:rFonts w:asciiTheme="majorEastAsia" w:eastAsiaTheme="majorEastAsia" w:hAnsiTheme="majorEastAsia" w:cstheme="majorEastAsia"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宋体" w:hAnsi="宋体" w:hint="eastAsia"/>
                <w:color w:val="auto"/>
                <w:szCs w:val="21"/>
                <w:highlight w:val="none"/>
              </w:rPr>
              <w:t>提供</w:t>
            </w:r>
            <w:r>
              <w:rPr>
                <w:rFonts w:ascii="宋体" w:hAnsi="宋体" w:hint="eastAsia"/>
                <w:color w:val="auto"/>
                <w:szCs w:val="21"/>
                <w:highlight w:val="none"/>
                <w:lang w:val="en-US" w:eastAsia="zh-CN"/>
              </w:rPr>
              <w:t>包含</w:t>
            </w:r>
            <w:r>
              <w:rPr>
                <w:rFonts w:ascii="宋体" w:hAnsi="宋体" w:hint="eastAsia"/>
                <w:color w:val="auto"/>
                <w:szCs w:val="21"/>
                <w:highlight w:val="none"/>
              </w:rPr>
              <w:t>以</w:t>
            </w:r>
            <w:r>
              <w:rPr>
                <w:rFonts w:ascii="宋体" w:hAnsi="宋体" w:hint="eastAsia"/>
                <w:color w:val="auto"/>
                <w:szCs w:val="21"/>
                <w:highlight w:val="none"/>
                <w:lang w:val="en-US" w:eastAsia="zh-CN"/>
              </w:rPr>
              <w:t>上</w:t>
            </w:r>
            <w:r>
              <w:rPr>
                <w:rFonts w:ascii="宋体" w:hAnsi="宋体" w:hint="eastAsia"/>
                <w:color w:val="auto"/>
                <w:szCs w:val="21"/>
                <w:highlight w:val="none"/>
              </w:rPr>
              <w:t>两项</w:t>
            </w:r>
            <w:r>
              <w:rPr>
                <w:rFonts w:ascii="宋体" w:hAnsi="宋体" w:hint="eastAsia"/>
                <w:color w:val="auto"/>
                <w:szCs w:val="21"/>
                <w:highlight w:val="none"/>
                <w:lang w:val="en-US" w:eastAsia="zh-CN"/>
              </w:rPr>
              <w:t>内容的</w:t>
            </w:r>
            <w:r>
              <w:rPr>
                <w:rFonts w:ascii="宋体" w:hAnsi="宋体" w:hint="eastAsia"/>
                <w:color w:val="auto"/>
                <w:szCs w:val="21"/>
                <w:highlight w:val="none"/>
              </w:rPr>
              <w:t>承诺函（格式自拟），未提供承诺或承诺内容不满足要求的不得分。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w:t>
            </w:r>
          </w:p>
        </w:tc>
        <w:tc>
          <w:tcPr>
            <w:tcW w:w="2670"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商务部分</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39</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24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74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权重</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同类</w:t>
            </w:r>
            <w:r>
              <w:rPr>
                <w:rFonts w:ascii="新宋体" w:eastAsia="新宋体" w:hAnsi="新宋体" w:hint="eastAsia"/>
                <w:color w:val="auto"/>
                <w:szCs w:val="21"/>
                <w:highlight w:val="none"/>
                <w:lang w:val="en-US" w:eastAsia="zh-CN"/>
              </w:rPr>
              <w:t>项目</w:t>
            </w:r>
            <w:r>
              <w:rPr>
                <w:rFonts w:ascii="新宋体" w:eastAsia="新宋体" w:hAnsi="新宋体" w:hint="eastAsia"/>
                <w:color w:val="auto"/>
                <w:szCs w:val="21"/>
                <w:highlight w:val="none"/>
              </w:rPr>
              <w:t>经验</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default"/>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14</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hint="eastAsia"/>
                <w:color w:val="auto"/>
                <w:highlight w:val="none"/>
              </w:rPr>
              <w:t>投标人提供</w:t>
            </w:r>
            <w:r>
              <w:rPr>
                <w:rFonts w:ascii="新宋体" w:eastAsia="新宋体" w:hAnsi="新宋体" w:hint="eastAsia"/>
                <w:color w:val="auto"/>
                <w:szCs w:val="21"/>
                <w:highlight w:val="none"/>
              </w:rPr>
              <w:t>202</w:t>
            </w: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年</w:t>
            </w:r>
            <w:r>
              <w:rPr>
                <w:rFonts w:ascii="新宋体" w:eastAsia="新宋体" w:hAnsi="新宋体" w:hint="eastAsia"/>
                <w:color w:val="auto"/>
                <w:szCs w:val="21"/>
                <w:highlight w:val="none"/>
                <w:lang w:val="en-US" w:eastAsia="zh-CN"/>
              </w:rPr>
              <w:t>1月1日</w:t>
            </w:r>
            <w:r>
              <w:rPr>
                <w:rFonts w:ascii="新宋体" w:eastAsia="新宋体" w:hAnsi="新宋体" w:hint="eastAsia"/>
                <w:color w:val="auto"/>
                <w:szCs w:val="21"/>
                <w:highlight w:val="none"/>
              </w:rPr>
              <w:t>至</w:t>
            </w:r>
            <w:r>
              <w:rPr>
                <w:rFonts w:ascii="新宋体" w:eastAsia="新宋体" w:hAnsi="新宋体" w:hint="eastAsia"/>
                <w:color w:val="auto"/>
                <w:szCs w:val="21"/>
                <w:highlight w:val="none"/>
                <w:lang w:val="en-US" w:eastAsia="zh-CN"/>
              </w:rPr>
              <w:t>投标截止日（以合同签订时间为准）</w:t>
            </w:r>
            <w:r>
              <w:rPr>
                <w:rFonts w:ascii="新宋体" w:eastAsia="新宋体" w:hAnsi="新宋体" w:hint="eastAsia"/>
                <w:color w:val="auto"/>
                <w:szCs w:val="21"/>
                <w:highlight w:val="none"/>
              </w:rPr>
              <w:t>同类业绩经验（同类业绩需包含：“无障碍评估”相关业绩），每提供一项得25分，本项最高得100分。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1.要求提供合同关键页（含签订合同双方的单位名称、合同项目名称、项目金额与含签订合同双方的落款盖章、签订日期的关键页）扫描件作为同类业绩评价证明资料。</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2.</w:t>
            </w:r>
            <w:r>
              <w:rPr>
                <w:rFonts w:ascii="新宋体" w:eastAsia="新宋体" w:hAnsi="新宋体"/>
                <w:color w:val="auto"/>
                <w:szCs w:val="21"/>
                <w:highlight w:val="none"/>
              </w:rPr>
              <w:t>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履约评价</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default"/>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12</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lang w:val="en-US" w:eastAsia="zh-CN"/>
              </w:rPr>
              <w:t>上述评审有效的业绩</w:t>
            </w:r>
            <w:r>
              <w:rPr>
                <w:rFonts w:ascii="新宋体" w:eastAsia="新宋体" w:hAnsi="新宋体" w:hint="eastAsia"/>
                <w:color w:val="auto"/>
                <w:szCs w:val="21"/>
                <w:highlight w:val="none"/>
              </w:rPr>
              <w:t>经服务单位考核评价为优或满意</w:t>
            </w: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lang w:val="en-US" w:eastAsia="zh-CN"/>
              </w:rPr>
              <w:t>即最高评价</w:t>
            </w: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rPr>
              <w:t>的，每提供1项得20分，满分100分。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1.须提供以上项目盖有</w:t>
            </w:r>
            <w:r>
              <w:rPr>
                <w:rFonts w:ascii="新宋体" w:eastAsia="新宋体" w:hAnsi="新宋体" w:hint="eastAsia"/>
                <w:color w:val="auto"/>
                <w:szCs w:val="21"/>
                <w:highlight w:val="none"/>
                <w:lang w:val="en-US" w:eastAsia="zh-CN"/>
              </w:rPr>
              <w:t>合同甲方</w:t>
            </w:r>
            <w:r>
              <w:rPr>
                <w:rFonts w:ascii="新宋体" w:eastAsia="新宋体" w:hAnsi="新宋体" w:hint="eastAsia"/>
                <w:color w:val="auto"/>
                <w:szCs w:val="21"/>
                <w:highlight w:val="none"/>
              </w:rPr>
              <w:t>公章</w:t>
            </w:r>
            <w:r>
              <w:rPr>
                <w:rFonts w:ascii="新宋体" w:eastAsia="新宋体" w:hAnsi="新宋体" w:hint="eastAsia"/>
                <w:color w:val="auto"/>
                <w:szCs w:val="21"/>
                <w:highlight w:val="none"/>
                <w:lang w:val="en-US" w:eastAsia="zh-CN"/>
              </w:rPr>
              <w:t>或业务章</w:t>
            </w:r>
            <w:r>
              <w:rPr>
                <w:rFonts w:ascii="新宋体" w:eastAsia="新宋体" w:hAnsi="新宋体" w:hint="eastAsia"/>
                <w:color w:val="auto"/>
                <w:szCs w:val="21"/>
                <w:highlight w:val="none"/>
              </w:rPr>
              <w:t>的履约评价扫描件，不提供不得分。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2.</w:t>
            </w:r>
            <w:r>
              <w:rPr>
                <w:rFonts w:ascii="新宋体" w:eastAsia="新宋体" w:hAnsi="新宋体"/>
                <w:color w:val="auto"/>
                <w:szCs w:val="21"/>
                <w:highlight w:val="none"/>
              </w:rPr>
              <w:t>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投标人获奖情况</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3</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255"/>
                <w:numId w:val="0"/>
              </w:numPr>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rPr>
            </w:pPr>
            <w:r>
              <w:rPr>
                <w:rFonts w:ascii="新宋体" w:eastAsia="新宋体" w:hAnsi="新宋体" w:hint="eastAsia"/>
                <w:color w:val="auto"/>
                <w:szCs w:val="21"/>
                <w:highlight w:val="none"/>
              </w:rPr>
              <w:t>评分内容：</w:t>
            </w:r>
          </w:p>
          <w:p>
            <w:pPr>
              <w:keepNext w:val="0"/>
              <w:keepLines w:val="0"/>
              <w:pageBreakBefore w:val="0"/>
              <w:widowControl w:val="0"/>
              <w:numPr>
                <w:ilvl w:val="0"/>
                <w:numId w:val="0"/>
              </w:numPr>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202</w:t>
            </w:r>
            <w:r>
              <w:rPr>
                <w:rFonts w:ascii="新宋体" w:eastAsia="新宋体" w:hAnsi="新宋体" w:hint="eastAsia"/>
                <w:color w:val="auto"/>
                <w:szCs w:val="21"/>
                <w:highlight w:val="none"/>
                <w:lang w:val="en-US" w:eastAsia="zh-CN"/>
              </w:rPr>
              <w:t>1</w:t>
            </w:r>
            <w:r>
              <w:rPr>
                <w:rFonts w:ascii="新宋体" w:eastAsia="新宋体" w:hAnsi="新宋体" w:hint="eastAsia"/>
                <w:color w:val="auto"/>
                <w:szCs w:val="21"/>
                <w:highlight w:val="none"/>
              </w:rPr>
              <w:t>年1月1日至本项目投标截止之日获得</w:t>
            </w:r>
            <w:r>
              <w:rPr>
                <w:rFonts w:ascii="新宋体" w:eastAsia="新宋体" w:hAnsi="新宋体" w:hint="eastAsia"/>
                <w:color w:val="auto"/>
                <w:szCs w:val="21"/>
                <w:highlight w:val="none"/>
                <w:lang w:eastAsia="zh-CN"/>
              </w:rPr>
              <w:t>的</w:t>
            </w:r>
            <w:r>
              <w:rPr>
                <w:rFonts w:ascii="新宋体" w:eastAsia="新宋体" w:hAnsi="新宋体" w:hint="eastAsia"/>
                <w:color w:val="auto"/>
                <w:szCs w:val="21"/>
                <w:highlight w:val="none"/>
              </w:rPr>
              <w:t>无障碍相关</w:t>
            </w:r>
            <w:r>
              <w:rPr>
                <w:rFonts w:ascii="新宋体" w:eastAsia="新宋体" w:hAnsi="新宋体" w:hint="eastAsia"/>
                <w:color w:val="auto"/>
                <w:szCs w:val="21"/>
                <w:highlight w:val="none"/>
                <w:lang w:val="en-US" w:eastAsia="zh-CN"/>
              </w:rPr>
              <w:t>领域</w:t>
            </w:r>
            <w:r>
              <w:rPr>
                <w:rFonts w:ascii="新宋体" w:eastAsia="新宋体" w:hAnsi="新宋体" w:hint="eastAsia"/>
                <w:color w:val="auto"/>
                <w:szCs w:val="21"/>
                <w:highlight w:val="none"/>
              </w:rPr>
              <w:t>奖项</w:t>
            </w: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1.国家级</w:t>
            </w:r>
            <w:r>
              <w:rPr>
                <w:rFonts w:ascii="新宋体" w:eastAsia="新宋体" w:hAnsi="新宋体" w:hint="eastAsia"/>
                <w:color w:val="auto"/>
                <w:szCs w:val="21"/>
                <w:highlight w:val="none"/>
                <w:lang w:val="en-US" w:eastAsia="zh-CN"/>
              </w:rPr>
              <w:t>奖项</w:t>
            </w:r>
            <w:r>
              <w:rPr>
                <w:rFonts w:ascii="新宋体" w:eastAsia="新宋体" w:hAnsi="新宋体" w:hint="eastAsia"/>
                <w:color w:val="auto"/>
                <w:szCs w:val="21"/>
                <w:highlight w:val="none"/>
              </w:rPr>
              <w:t>每个得25分，最高得50分；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 xml:space="preserve">2.省级奖项每个得10分，最高得30分； </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lang w:eastAsia="zh-CN"/>
              </w:rPr>
            </w:pPr>
            <w:r>
              <w:rPr>
                <w:rFonts w:ascii="新宋体" w:eastAsia="新宋体" w:hAnsi="新宋体" w:hint="eastAsia"/>
                <w:color w:val="auto"/>
                <w:szCs w:val="21"/>
                <w:highlight w:val="none"/>
              </w:rPr>
              <w:t>3.市级奖项每个得</w:t>
            </w:r>
            <w:r>
              <w:rPr>
                <w:rFonts w:ascii="新宋体" w:eastAsia="新宋体" w:hAnsi="新宋体" w:hint="eastAsia"/>
                <w:color w:val="auto"/>
                <w:szCs w:val="21"/>
                <w:highlight w:val="none"/>
                <w:lang w:val="en-US" w:eastAsia="zh-CN"/>
              </w:rPr>
              <w:t>5</w:t>
            </w:r>
            <w:r>
              <w:rPr>
                <w:rFonts w:ascii="新宋体" w:eastAsia="新宋体" w:hAnsi="新宋体" w:hint="eastAsia"/>
                <w:color w:val="auto"/>
                <w:szCs w:val="21"/>
                <w:highlight w:val="none"/>
              </w:rPr>
              <w:t>分，最高得20分</w:t>
            </w:r>
            <w:r>
              <w:rPr>
                <w:rFonts w:ascii="新宋体" w:eastAsia="新宋体" w:hAnsi="新宋体" w:hint="eastAsia"/>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以上3项累加计分，最高得100分。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1.要求提供奖项照片或获奖（荣誉）证书等证明材料作为得分依据。以上资料均要求提供扫描件。</w:t>
            </w:r>
            <w:r>
              <w:rPr>
                <w:rFonts w:hint="eastAsia"/>
                <w:color w:val="auto"/>
                <w:sz w:val="21"/>
                <w:szCs w:val="21"/>
                <w:highlight w:val="none"/>
              </w:rPr>
              <w:t>如未按要求提供证明材料，或所提供的证明材料未能体现上述评分内容的，视为该证明材料无效</w:t>
            </w:r>
            <w:r>
              <w:rPr>
                <w:rFonts w:ascii="新宋体" w:eastAsia="新宋体" w:hAnsi="新宋体"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rPr>
            </w:pPr>
            <w:r>
              <w:rPr>
                <w:rFonts w:ascii="新宋体" w:eastAsia="新宋体" w:hAnsi="新宋体" w:hint="eastAsia"/>
                <w:color w:val="auto"/>
                <w:szCs w:val="21"/>
                <w:highlight w:val="none"/>
              </w:rPr>
              <w:t>2.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hint="eastAsia"/>
                <w:b/>
                <w:color w:val="auto"/>
                <w:sz w:val="21"/>
                <w:szCs w:val="21"/>
                <w:highlight w:val="none"/>
              </w:rPr>
              <w:t>注：副省级城市的市级政府部门（或政府部门参与组成的机构）颁发的奖项以省级得分，所属的区级政府部门（或政府部门参与组成的机构）颁发的奖项以地（市）级得分（例如：提供深圳市的市级政府部门颁发的荣誉或奖项得</w:t>
            </w:r>
            <w:r>
              <w:rPr>
                <w:rFonts w:hint="eastAsia"/>
                <w:b/>
                <w:color w:val="auto"/>
                <w:sz w:val="21"/>
                <w:szCs w:val="21"/>
                <w:highlight w:val="none"/>
                <w:lang w:val="en-US" w:eastAsia="zh-CN"/>
              </w:rPr>
              <w:t>10</w:t>
            </w:r>
            <w:r>
              <w:rPr>
                <w:rFonts w:hint="eastAsia"/>
                <w:b/>
                <w:color w:val="auto"/>
                <w:sz w:val="21"/>
                <w:szCs w:val="21"/>
                <w:highlight w:val="none"/>
              </w:rPr>
              <w:t>分，提供深圳市的区级政府部门颁发的荣誉或奖项得</w:t>
            </w:r>
            <w:r>
              <w:rPr>
                <w:rFonts w:hint="eastAsia"/>
                <w:b/>
                <w:color w:val="auto"/>
                <w:sz w:val="21"/>
                <w:szCs w:val="21"/>
                <w:highlight w:val="none"/>
                <w:lang w:val="en-US" w:eastAsia="zh-CN"/>
              </w:rPr>
              <w:t>5</w:t>
            </w:r>
            <w:r>
              <w:rPr>
                <w:rFonts w:hint="eastAsia"/>
                <w:b/>
                <w:color w:val="auto"/>
                <w:sz w:val="21"/>
                <w:szCs w:val="21"/>
                <w:highlight w:val="none"/>
              </w:rPr>
              <w:t>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拟安排的项目团队成员</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6</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hint="eastAsia"/>
                <w:color w:val="auto"/>
                <w:szCs w:val="21"/>
                <w:highlight w:val="none"/>
              </w:rPr>
            </w:pPr>
            <w:r>
              <w:rPr>
                <w:rFonts w:ascii="新宋体" w:eastAsia="新宋体" w:hAnsi="新宋体" w:hint="eastAsia"/>
                <w:color w:val="auto"/>
                <w:szCs w:val="21"/>
                <w:highlight w:val="none"/>
              </w:rPr>
              <w:t>拟安排项目团队成员每有1人参与过“无障碍”建设相关项目的得20分，最高得100分。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要求提供项目团队成员</w:t>
            </w:r>
            <w:r>
              <w:rPr>
                <w:rFonts w:ascii="新宋体" w:eastAsia="新宋体" w:hAnsi="新宋体" w:hint="eastAsia"/>
                <w:color w:val="auto"/>
                <w:szCs w:val="21"/>
                <w:highlight w:val="none"/>
                <w:lang w:val="en-US" w:eastAsia="zh-CN"/>
              </w:rPr>
              <w:t>与投标人签订的</w:t>
            </w:r>
            <w:r>
              <w:rPr>
                <w:rFonts w:ascii="新宋体" w:eastAsia="新宋体" w:hAnsi="新宋体" w:hint="eastAsia"/>
                <w:color w:val="auto"/>
                <w:szCs w:val="21"/>
                <w:highlight w:val="none"/>
              </w:rPr>
              <w:t>劳动合同扫描件</w:t>
            </w:r>
            <w:r>
              <w:rPr>
                <w:rFonts w:ascii="新宋体" w:eastAsia="新宋体" w:hAnsi="新宋体" w:hint="eastAsia"/>
                <w:color w:val="auto"/>
                <w:szCs w:val="21"/>
                <w:highlight w:val="none"/>
                <w:lang w:val="en-US" w:eastAsia="zh-CN"/>
              </w:rPr>
              <w:t>及</w:t>
            </w:r>
            <w:r>
              <w:rPr>
                <w:rFonts w:ascii="新宋体" w:eastAsia="新宋体" w:hAnsi="新宋体" w:hint="eastAsia"/>
                <w:color w:val="auto"/>
                <w:szCs w:val="21"/>
                <w:highlight w:val="none"/>
              </w:rPr>
              <w:t>业绩合同关键页，如合同关键页无法体现项目团队成员信息的，还须同时提供合同甲方（采购方）出具并加盖公章的相关证明材料（须列明合同名称、合同服务时间、项目团队成员姓名等信息）作为得分依据。</w:t>
            </w:r>
            <w:r>
              <w:rPr>
                <w:rFonts w:hint="eastAsia"/>
                <w:color w:val="auto"/>
                <w:sz w:val="21"/>
                <w:szCs w:val="21"/>
                <w:highlight w:val="none"/>
              </w:rPr>
              <w:t>如未按要求提供证明材料，或所提供的证明材料未能体现上述评分内容的，视为该证明材料无效</w:t>
            </w:r>
            <w:r>
              <w:rPr>
                <w:rFonts w:ascii="新宋体" w:eastAsia="新宋体" w:hAnsi="新宋体" w:hint="eastAsia"/>
                <w:color w:val="auto"/>
                <w:szCs w:val="21"/>
                <w:highlight w:val="none"/>
              </w:rPr>
              <w:t>。</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管理体系认证</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2</w:t>
            </w:r>
          </w:p>
        </w:tc>
        <w:tc>
          <w:tcPr>
            <w:tcW w:w="5097"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具有质量管理体系认证证书的得100分</w:t>
            </w:r>
            <w:r>
              <w:rPr>
                <w:rFonts w:ascii="新宋体" w:eastAsia="新宋体" w:hAnsi="新宋体" w:hint="eastAsia"/>
                <w:color w:val="auto"/>
                <w:szCs w:val="21"/>
                <w:highlight w:val="none"/>
                <w:lang w:eastAsia="zh-CN"/>
              </w:rPr>
              <w:t>。</w:t>
            </w:r>
            <w:r>
              <w:rPr>
                <w:rFonts w:ascii="新宋体" w:eastAsia="新宋体" w:hAnsi="新宋体" w:hint="eastAsia"/>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320" w:lineRule="exact"/>
              <w:textAlignment w:val="auto"/>
              <w:rPr>
                <w:rFonts w:ascii="新宋体" w:eastAsia="新宋体" w:hAnsi="新宋体"/>
                <w:color w:val="auto"/>
                <w:szCs w:val="21"/>
                <w:highlight w:val="none"/>
              </w:rPr>
            </w:pPr>
            <w:r>
              <w:rPr>
                <w:rFonts w:ascii="新宋体" w:eastAsia="新宋体" w:hAnsi="新宋体" w:hint="eastAsia"/>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hint="eastAsia"/>
                <w:color w:val="auto"/>
                <w:sz w:val="21"/>
                <w:szCs w:val="21"/>
                <w:highlight w:val="none"/>
              </w:rPr>
              <w:t>提供相关有效认证证书扫描件及全国认证认可信息公共服务平台（认</w:t>
            </w:r>
            <w:r>
              <w:rPr>
                <w:color w:val="auto"/>
                <w:sz w:val="21"/>
                <w:szCs w:val="21"/>
                <w:highlight w:val="none"/>
              </w:rPr>
              <w:t>e</w:t>
            </w:r>
            <w:r>
              <w:rPr>
                <w:rFonts w:hint="eastAsia"/>
                <w:color w:val="auto"/>
                <w:sz w:val="21"/>
                <w:szCs w:val="21"/>
                <w:highlight w:val="none"/>
              </w:rPr>
              <w:t>云）（</w:t>
            </w:r>
            <w:r>
              <w:rPr>
                <w:color w:val="auto"/>
                <w:sz w:val="21"/>
                <w:szCs w:val="21"/>
                <w:highlight w:val="none"/>
              </w:rPr>
              <w:t>http://cx.cnca.cn/</w:t>
            </w:r>
            <w:r>
              <w:rPr>
                <w:rFonts w:hint="eastAsia"/>
                <w:color w:val="auto"/>
                <w:sz w:val="21"/>
                <w:szCs w:val="21"/>
                <w:highlight w:val="none"/>
              </w:rPr>
              <w:t>）的认证信息截图（须体现网站信息，且截图需显示证书状态为有效）。如未按要求提供证明材料，或所提供的证明材料未能体现上述评分内容的，视为该证明材料无效</w:t>
            </w:r>
            <w:r>
              <w:rPr>
                <w:rFonts w:ascii="新宋体" w:eastAsia="新宋体" w:hAnsi="新宋体" w:hint="eastAsia"/>
                <w:color w:val="auto"/>
                <w:szCs w:val="21"/>
                <w:highlight w:val="none"/>
              </w:rPr>
              <w:t>。</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rPr>
              <w:t>服务网点</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color w:val="auto"/>
                <w:szCs w:val="21"/>
                <w:highlight w:val="none"/>
                <w:lang w:val="en-US" w:eastAsia="zh-CN"/>
              </w:rPr>
            </w:pPr>
            <w:r>
              <w:rPr>
                <w:rFonts w:asciiTheme="majorEastAsia" w:eastAsiaTheme="majorEastAsia" w:hAnsiTheme="majorEastAsia" w:cstheme="majorEastAsia" w:hint="eastAsia"/>
                <w:color w:val="auto"/>
                <w:szCs w:val="21"/>
                <w:highlight w:val="none"/>
                <w:lang w:val="en-US" w:eastAsia="zh-CN"/>
              </w:rPr>
              <w:t>2</w:t>
            </w:r>
          </w:p>
        </w:tc>
        <w:tc>
          <w:tcPr>
            <w:tcW w:w="5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numPr>
                <w:ilvl w:val="0"/>
                <w:numId w:val="0"/>
              </w:numPr>
              <w:kinsoku/>
              <w:overflowPunct/>
              <w:topLinePunct w:val="0"/>
              <w:autoSpaceDE/>
              <w:autoSpaceDN/>
              <w:bidi w:val="0"/>
              <w:adjustRightInd/>
              <w:snapToGrid/>
              <w:spacing w:line="320" w:lineRule="exact"/>
              <w:textAlignment w:val="auto"/>
              <w:rPr>
                <w:color w:val="auto"/>
                <w:szCs w:val="21"/>
                <w:highlight w:val="none"/>
              </w:rPr>
            </w:pPr>
            <w:r>
              <w:rPr>
                <w:rFonts w:ascii="新宋体" w:eastAsia="新宋体" w:hAnsi="新宋体" w:hint="eastAsia"/>
                <w:color w:val="auto"/>
                <w:szCs w:val="21"/>
                <w:highlight w:val="none"/>
              </w:rPr>
              <w:t>1.</w:t>
            </w:r>
            <w:r>
              <w:rPr>
                <w:color w:val="auto"/>
                <w:szCs w:val="21"/>
                <w:highlight w:val="none"/>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color w:val="auto"/>
                <w:szCs w:val="21"/>
                <w:highlight w:val="none"/>
              </w:rPr>
              <w:t>100</w:t>
            </w:r>
            <w:r>
              <w:rPr>
                <w:color w:val="auto"/>
                <w:szCs w:val="21"/>
                <w:highlight w:val="none"/>
              </w:rPr>
              <w:t>分；否则不得分。</w:t>
            </w:r>
          </w:p>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新宋体" w:eastAsia="新宋体" w:hAnsi="新宋体" w:hint="eastAsia"/>
                <w:color w:val="auto"/>
                <w:szCs w:val="21"/>
                <w:highlight w:val="none"/>
                <w:lang w:val="en-US" w:eastAsia="zh-CN"/>
              </w:rPr>
              <w:t>2</w:t>
            </w:r>
            <w:r>
              <w:rPr>
                <w:rFonts w:ascii="新宋体" w:eastAsia="新宋体" w:hAnsi="新宋体" w:hint="eastAsia"/>
                <w:color w:val="auto"/>
                <w:szCs w:val="21"/>
                <w:highlight w:val="none"/>
              </w:rPr>
              <w:t>.</w:t>
            </w:r>
            <w:r>
              <w:rPr>
                <w:color w:val="auto"/>
                <w:szCs w:val="21"/>
                <w:highlight w:val="none"/>
              </w:rPr>
              <w:t>外地供应商承诺：中标后设立本地经营（服务）网点的，提供承诺文件（格式自定）的，得</w:t>
            </w:r>
            <w:r>
              <w:rPr>
                <w:rFonts w:hint="eastAsia"/>
                <w:color w:val="auto"/>
                <w:szCs w:val="21"/>
                <w:highlight w:val="none"/>
              </w:rPr>
              <w:t>100</w:t>
            </w:r>
            <w:r>
              <w:rPr>
                <w:color w:val="auto"/>
                <w:szCs w:val="21"/>
                <w:highlight w:val="none"/>
              </w:rPr>
              <w:t>分；未提供承诺或承诺内容不满足要求均不得分。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4</w:t>
            </w:r>
          </w:p>
        </w:tc>
        <w:tc>
          <w:tcPr>
            <w:tcW w:w="2670"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诚信情况</w:t>
            </w:r>
          </w:p>
        </w:tc>
        <w:tc>
          <w:tcPr>
            <w:tcW w:w="5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b/>
                <w:bCs/>
                <w:color w:val="auto"/>
                <w:szCs w:val="21"/>
                <w:highlight w:val="none"/>
                <w:lang w:eastAsia="zh-CN"/>
              </w:rPr>
            </w:pPr>
            <w:r>
              <w:rPr>
                <w:rFonts w:asciiTheme="majorEastAsia" w:eastAsiaTheme="majorEastAsia" w:hAnsiTheme="majorEastAsia" w:cstheme="majorEastAsia" w:hint="eastAsia"/>
                <w:b/>
                <w:bCs/>
                <w:color w:val="auto"/>
                <w:szCs w:val="21"/>
                <w:highlight w:val="none"/>
                <w:lang w:val="en-US" w:eastAsia="zh-CN"/>
              </w:rPr>
              <w:t>5</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评分因素</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权重</w:t>
            </w:r>
          </w:p>
        </w:tc>
        <w:tc>
          <w:tcPr>
            <w:tcW w:w="5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2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诚信管理情况</w:t>
            </w:r>
          </w:p>
        </w:tc>
        <w:tc>
          <w:tcPr>
            <w:tcW w:w="74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lang w:val="en-US" w:eastAsia="zh-CN"/>
              </w:rPr>
              <w:t>5</w:t>
            </w:r>
          </w:p>
        </w:tc>
        <w:tc>
          <w:tcPr>
            <w:tcW w:w="5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320" w:lineRule="exac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向评审委员会提供相关信息。</w:t>
            </w:r>
          </w:p>
        </w:tc>
      </w:tr>
    </w:tbl>
    <w:p>
      <w:pPr>
        <w:rPr>
          <w:rFonts w:ascii="微软雅黑" w:eastAsia="微软雅黑" w:hAnsi="微软雅黑" w:cs="微软雅黑" w:hint="eastAsia"/>
          <w:b/>
          <w:bCs/>
          <w:color w:val="auto"/>
          <w:sz w:val="32"/>
          <w:szCs w:val="32"/>
          <w:highlight w:val="none"/>
        </w:rPr>
      </w:pPr>
      <w:bookmarkStart w:id="1" w:name="bt投标函"/>
      <w:bookmarkEnd w:id="1"/>
      <w:bookmarkStart w:id="2" w:name="bt技术标投标文件格式"/>
      <w:bookmarkEnd w:id="2"/>
      <w:bookmarkStart w:id="3" w:name="bt投标人情况介绍"/>
      <w:bookmarkEnd w:id="3"/>
      <w:bookmarkStart w:id="4" w:name="bt本工程承诺书"/>
      <w:bookmarkEnd w:id="4"/>
      <w:bookmarkStart w:id="5" w:name="bt商务标投标文件格式"/>
      <w:bookmarkEnd w:id="5"/>
      <w:bookmarkStart w:id="6" w:name="bt说明"/>
      <w:bookmarkEnd w:id="6"/>
      <w:bookmarkStart w:id="7" w:name="bt投标人须知"/>
      <w:bookmarkEnd w:id="7"/>
      <w:bookmarkStart w:id="8" w:name="bt合同格式"/>
      <w:bookmarkEnd w:id="8"/>
      <w:bookmarkStart w:id="9" w:name="bt合同条款"/>
      <w:bookmarkEnd w:id="9"/>
      <w:bookmarkStart w:id="10" w:name="bt投标报价汇总表"/>
      <w:bookmarkEnd w:id="10"/>
      <w:bookmarkStart w:id="11" w:name="bt其他资料2"/>
      <w:bookmarkEnd w:id="11"/>
      <w:bookmarkStart w:id="12" w:name="bt其他资料由投标人自定"/>
      <w:bookmarkEnd w:id="12"/>
      <w:bookmarkStart w:id="13" w:name="bt投标文件签署授权委托书"/>
      <w:bookmarkEnd w:id="13"/>
      <w:bookmarkStart w:id="14" w:name="合同格式"/>
      <w:bookmarkEnd w:id="14"/>
      <w:bookmarkStart w:id="15" w:name="bt合同条款及格式"/>
      <w:bookmarkEnd w:id="15"/>
      <w:bookmarkStart w:id="16" w:name="bt开标一览表"/>
      <w:bookmarkEnd w:id="16"/>
      <w:bookmarkStart w:id="17" w:name="bt项目管理班子配备情况"/>
      <w:bookmarkEnd w:id="17"/>
      <w:r>
        <w:rPr>
          <w:rFonts w:ascii="微软雅黑" w:eastAsia="微软雅黑" w:hAnsi="微软雅黑" w:cs="微软雅黑" w:hint="eastAsia"/>
          <w:b/>
          <w:bCs/>
          <w:color w:val="auto"/>
          <w:sz w:val="32"/>
          <w:szCs w:val="32"/>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第一章  招标公告</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一、项目基本情况</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1、项目编号：SZDL2023002548</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2、项目名称：</w:t>
      </w:r>
      <w:r>
        <w:rPr>
          <w:rFonts w:asciiTheme="majorEastAsia" w:eastAsiaTheme="majorEastAsia" w:hAnsiTheme="majorEastAsia" w:cstheme="majorEastAsia" w:hint="eastAsia"/>
          <w:color w:val="auto"/>
          <w:szCs w:val="21"/>
          <w:highlight w:val="none"/>
        </w:rPr>
        <w:t>2024年度无障碍城市建设</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3、预算金额：人民币</w:t>
      </w:r>
      <w:r>
        <w:rPr>
          <w:rFonts w:asciiTheme="majorEastAsia" w:eastAsiaTheme="majorEastAsia" w:hAnsiTheme="majorEastAsia" w:cstheme="majorEastAsia" w:hint="eastAsia"/>
          <w:color w:val="auto"/>
          <w:szCs w:val="21"/>
          <w:highlight w:val="none"/>
          <w:lang w:val="en-US" w:eastAsia="zh-CN"/>
        </w:rPr>
        <w:t>140</w:t>
      </w:r>
      <w:r>
        <w:rPr>
          <w:rFonts w:asciiTheme="majorEastAsia" w:eastAsiaTheme="majorEastAsia" w:hAnsiTheme="majorEastAsia" w:cstheme="majorEastAsia" w:hint="eastAsia"/>
          <w:color w:val="auto"/>
          <w:szCs w:val="21"/>
          <w:highlight w:val="none"/>
        </w:rPr>
        <w:t>万元</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4、最高限价（如有）：/</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5、采购需求：详见招标文件相关内容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6、合同履行期限：详见招标文件相关内容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7、本项目是否接受联合体投标：否</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二、投标人的资格要求</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1、满足《中华人民共和国政府采购法》第二十二条第一款规定；（由供应商在《政府采购投标及履约承诺函》中作出声明）</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2、落实政府采购政策需满足的资格要求：</w:t>
      </w:r>
      <w:r>
        <w:rPr>
          <w:rFonts w:asciiTheme="majorEastAsia" w:eastAsiaTheme="majorEastAsia" w:hAnsiTheme="majorEastAsia" w:cstheme="majorEastAsia" w:hint="eastAsia"/>
          <w:b/>
          <w:bCs/>
          <w:color w:val="auto"/>
          <w:szCs w:val="21"/>
          <w:highlight w:val="none"/>
        </w:rPr>
        <w:t>本项目不属于专门面向中小企业采购的项目</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3、本项目的特定资格要求：</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（1）具有独立法人资格或具有独立承担民事责任的能力的其他组织</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（提供营业证照等证书扫描件）</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（2）本项目不接受联合体投标；</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（3）参与本项目投标前三年内，在经营活动中没有重大违法记录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（由供应商在《政府采购投标及履约承诺函》中作出声明）</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（4）参与本项目政府采购活动时不存在被有关部门禁止参与政府采购活动且在有效期内的情况</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（由供应商在《政府采购投标及履约承诺</w:t>
      </w:r>
      <w:r>
        <w:rPr>
          <w:rFonts w:asciiTheme="majorEastAsia" w:eastAsiaTheme="majorEastAsia" w:hAnsiTheme="majorEastAsia" w:cstheme="majorEastAsia" w:hint="eastAsia"/>
          <w:color w:val="auto"/>
          <w:szCs w:val="21"/>
          <w:highlight w:val="none"/>
        </w:rPr>
        <w:t>函》中作出声明）</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（5）参与政府采购项目投标的供应商未被列入失信被执行人、重大税收违法失信主体、政府采购严重违法失信行为记录名单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lang w:val="en-US" w:eastAsia="zh-CN"/>
        </w:rPr>
        <w:t>三</w:t>
      </w:r>
      <w:r>
        <w:rPr>
          <w:rFonts w:asciiTheme="majorEastAsia" w:eastAsiaTheme="majorEastAsia" w:hAnsiTheme="majorEastAsia" w:cstheme="majorEastAsia" w:hint="eastAsia"/>
          <w:b/>
          <w:bCs/>
          <w:color w:val="auto"/>
          <w:szCs w:val="21"/>
          <w:highlight w:val="none"/>
        </w:rPr>
        <w:t>、对本次招标提出询问，请按以下方式联系。</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1、采购人信息</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名　  称：深圳市残疾人联合会</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地  　址：广东省深圳市罗湖区笋岗街道笋岗东路3012号中民时代广场B座12楼</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联系方式：</w:t>
      </w:r>
      <w:r>
        <w:rPr>
          <w:rFonts w:asciiTheme="majorEastAsia" w:eastAsiaTheme="majorEastAsia" w:hAnsiTheme="majorEastAsia" w:cstheme="majorEastAsia" w:hint="eastAsia"/>
          <w:color w:val="auto"/>
          <w:szCs w:val="21"/>
          <w:highlight w:val="none"/>
          <w:lang w:val="en-US" w:eastAsia="zh-CN"/>
        </w:rPr>
        <w:t>梁工</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82485789</w:t>
      </w:r>
      <w:r>
        <w:rPr>
          <w:rFonts w:asciiTheme="majorEastAsia" w:eastAsiaTheme="majorEastAsia" w:hAnsiTheme="majorEastAsia" w:cstheme="majorEastAsia" w:hint="eastAsia"/>
          <w:color w:val="auto"/>
          <w:szCs w:val="21"/>
          <w:highlight w:val="none"/>
        </w:rPr>
        <w:t xml:space="preserve">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2、采购代理机构信息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 xml:space="preserve">名　  称：深圳交易咨询集团有限公司  </w:t>
      </w:r>
    </w:p>
    <w:p>
      <w:pPr>
        <w:spacing w:line="420" w:lineRule="exact"/>
        <w:ind w:firstLine="420" w:firstLineChars="200"/>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地　  址：</w:t>
      </w:r>
      <w:r>
        <w:rPr>
          <w:rFonts w:asciiTheme="majorEastAsia" w:eastAsiaTheme="majorEastAsia" w:hAnsiTheme="majorEastAsia" w:cstheme="majorEastAsia" w:hint="eastAsia"/>
          <w:color w:val="auto"/>
          <w:szCs w:val="21"/>
          <w:highlight w:val="none"/>
          <w:lang w:eastAsia="zh-CN"/>
        </w:rPr>
        <w:t>深圳市南山区沙河西路3185号南山智谷A座21/25楼</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 xml:space="preserve">联系方式：0755-83521951、13682515285；0755-86715309、18210026365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监督举报电话：0755-22965602、0755-86660475</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账户信息：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账户名称：深圳交易咨询集团有限公司</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开户银行：平安银行深圳江苏大厦支行</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帐    号：（人民币）11002982389701（用于支付招标代理服务费）</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3、项目联系方式</w:t>
      </w:r>
    </w:p>
    <w:p>
      <w:pPr>
        <w:spacing w:line="420" w:lineRule="exact"/>
        <w:ind w:firstLine="420" w:firstLineChars="200"/>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项目联系人：</w:t>
      </w:r>
      <w:r>
        <w:rPr>
          <w:rFonts w:asciiTheme="majorEastAsia" w:eastAsiaTheme="majorEastAsia" w:hAnsiTheme="majorEastAsia" w:cstheme="majorEastAsia" w:hint="eastAsia"/>
          <w:color w:val="auto"/>
          <w:szCs w:val="21"/>
          <w:highlight w:val="none"/>
          <w:lang w:val="en-US" w:eastAsia="zh-CN"/>
        </w:rPr>
        <w:t>王文乐</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俞泓亚</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电    话：0755-83521951、13682515285；0755-86715309、18210026365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4、深圳公共资源交易中心</w:t>
      </w:r>
    </w:p>
    <w:p>
      <w:pPr>
        <w:pStyle w:val="NormalIndent"/>
        <w:spacing w:line="420" w:lineRule="exact"/>
        <w:ind w:firstLine="393" w:firstLineChars="187"/>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系统技术支持、招投标软件技术支持：86500023、83938599，83948100，83938584</w:t>
      </w:r>
    </w:p>
    <w:p>
      <w:pPr>
        <w:pStyle w:val="NormalIndent"/>
        <w:spacing w:line="420" w:lineRule="exact"/>
        <w:ind w:firstLine="393" w:firstLineChars="187"/>
        <w:rPr>
          <w:rFonts w:asciiTheme="majorEastAsia" w:eastAsiaTheme="majorEastAsia" w:hAnsiTheme="majorEastAsia" w:cstheme="majorEastAsia"/>
          <w:color w:val="auto"/>
          <w:highlight w:val="none"/>
        </w:rPr>
      </w:pPr>
      <w:r>
        <w:rPr>
          <w:rFonts w:hAnsi="宋体" w:hint="eastAsia"/>
          <w:b/>
          <w:bCs/>
          <w:color w:val="auto"/>
          <w:sz w:val="32"/>
          <w:szCs w:val="32"/>
          <w:highlight w:val="none"/>
        </w:rPr>
        <w:t>关于本项目招标公告完整的公示信息详见深圳政府采购智慧平台（http://zfcg.szggzy.com:8081/）</w:t>
      </w: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spacing w:line="420" w:lineRule="exact"/>
        <w:ind w:firstLine="420" w:firstLineChars="200"/>
        <w:jc w:val="righ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深圳交易咨询集团有限公司</w:t>
      </w:r>
      <w:r>
        <w:rPr>
          <w:rFonts w:asciiTheme="majorEastAsia" w:eastAsiaTheme="majorEastAsia" w:hAnsiTheme="majorEastAsia" w:cstheme="majorEastAsia" w:hint="eastAsia"/>
          <w:bCs/>
          <w:color w:val="auto"/>
          <w:szCs w:val="21"/>
          <w:highlight w:val="none"/>
        </w:rPr>
        <w:br/>
      </w:r>
      <w:r>
        <w:rPr>
          <w:rFonts w:asciiTheme="majorEastAsia" w:eastAsiaTheme="majorEastAsia" w:hAnsiTheme="majorEastAsia" w:cstheme="majorEastAsia" w:hint="eastAsia"/>
          <w:bCs/>
          <w:color w:val="auto"/>
          <w:szCs w:val="21"/>
          <w:highlight w:val="none"/>
          <w:lang w:val="en-US" w:eastAsia="zh-CN"/>
        </w:rPr>
        <w:t>2023</w:t>
      </w:r>
      <w:r>
        <w:rPr>
          <w:rFonts w:asciiTheme="majorEastAsia" w:eastAsiaTheme="majorEastAsia" w:hAnsiTheme="majorEastAsia" w:cstheme="majorEastAsia" w:hint="eastAsia"/>
          <w:bCs/>
          <w:color w:val="auto"/>
          <w:szCs w:val="21"/>
          <w:highlight w:val="none"/>
        </w:rPr>
        <w:t>年</w:t>
      </w:r>
      <w:r>
        <w:rPr>
          <w:rFonts w:asciiTheme="majorEastAsia" w:eastAsiaTheme="majorEastAsia" w:hAnsiTheme="majorEastAsia" w:cstheme="majorEastAsia" w:hint="eastAsia"/>
          <w:bCs/>
          <w:color w:val="auto"/>
          <w:szCs w:val="21"/>
          <w:highlight w:val="none"/>
          <w:lang w:val="en-US" w:eastAsia="zh-CN"/>
        </w:rPr>
        <w:t>12</w:t>
      </w:r>
      <w:r>
        <w:rPr>
          <w:rFonts w:asciiTheme="majorEastAsia" w:eastAsiaTheme="majorEastAsia" w:hAnsiTheme="majorEastAsia" w:cstheme="majorEastAsia" w:hint="eastAsia"/>
          <w:bCs/>
          <w:color w:val="auto"/>
          <w:szCs w:val="21"/>
          <w:highlight w:val="none"/>
        </w:rPr>
        <w:t>月</w:t>
      </w:r>
      <w:r>
        <w:rPr>
          <w:rFonts w:asciiTheme="majorEastAsia" w:eastAsiaTheme="majorEastAsia" w:hAnsiTheme="majorEastAsia" w:cstheme="majorEastAsia" w:hint="eastAsia"/>
          <w:bCs/>
          <w:color w:val="auto"/>
          <w:szCs w:val="21"/>
          <w:highlight w:val="none"/>
          <w:lang w:val="en-US" w:eastAsia="zh-CN"/>
        </w:rPr>
        <w:t>15</w:t>
      </w:r>
      <w:r>
        <w:rPr>
          <w:rFonts w:asciiTheme="majorEastAsia" w:eastAsiaTheme="majorEastAsia" w:hAnsiTheme="majorEastAsia" w:cstheme="majorEastAsia" w:hint="eastAsia"/>
          <w:bCs/>
          <w:color w:val="auto"/>
          <w:szCs w:val="21"/>
          <w:highlight w:val="none"/>
        </w:rPr>
        <w:t>日</w:t>
      </w:r>
    </w:p>
    <w:p>
      <w:pPr>
        <w:ind w:firstLine="420" w:firstLineChars="200"/>
        <w:jc w:val="right"/>
        <w:rPr>
          <w:rFonts w:asciiTheme="majorEastAsia" w:eastAsiaTheme="majorEastAsia" w:hAnsiTheme="majorEastAsia" w:cstheme="majorEastAsia"/>
          <w:bCs/>
          <w:color w:val="auto"/>
          <w:szCs w:val="21"/>
          <w:highlight w:val="none"/>
        </w:rPr>
      </w:pPr>
    </w:p>
    <w:p>
      <w:pPr>
        <w:ind w:firstLine="420" w:firstLineChars="200"/>
        <w:jc w:val="right"/>
        <w:rPr>
          <w:rFonts w:asciiTheme="majorEastAsia" w:eastAsiaTheme="majorEastAsia" w:hAnsiTheme="majorEastAsia" w:cstheme="majorEastAsia"/>
          <w:color w:val="auto"/>
          <w:sz w:val="32"/>
          <w:szCs w:val="32"/>
          <w:highlight w:val="none"/>
        </w:rPr>
      </w:pPr>
      <w:bookmarkStart w:id="18" w:name="_GoBack"/>
      <w:bookmarkEnd w:id="18"/>
      <w:r>
        <w:rPr>
          <w:rFonts w:asciiTheme="majorEastAsia" w:eastAsiaTheme="majorEastAsia" w:hAnsiTheme="majorEastAsia" w:cstheme="majorEastAsia" w:hint="eastAsia"/>
          <w:bCs/>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第二章  用户需求书</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bookmarkStart w:id="19" w:name="_Toc73518117"/>
      <w:bookmarkStart w:id="20" w:name="_Toc60631620"/>
      <w:bookmarkStart w:id="21" w:name="_Toc73517639"/>
      <w:bookmarkStart w:id="22" w:name="_Toc73521635"/>
      <w:bookmarkStart w:id="23" w:name="_Toc101074876"/>
      <w:bookmarkStart w:id="24" w:name="_Toc100052364"/>
      <w:bookmarkStart w:id="25" w:name="_Toc60560625"/>
      <w:bookmarkStart w:id="26" w:name="_Toc73521547"/>
      <w:r>
        <w:rPr>
          <w:rFonts w:asciiTheme="majorEastAsia" w:eastAsiaTheme="majorEastAsia" w:hAnsiTheme="majorEastAsia" w:cstheme="majorEastAsia" w:hint="eastAsia"/>
          <w:color w:val="auto"/>
          <w:sz w:val="24"/>
          <w:szCs w:val="24"/>
          <w:highlight w:val="none"/>
        </w:rPr>
        <w:t>一、通用条款补充内容</w:t>
      </w:r>
    </w:p>
    <w:tbl>
      <w:tblPr>
        <w:tblStyle w:val="TableNormal"/>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
      <w:tblGrid>
        <w:gridCol w:w="807"/>
        <w:gridCol w:w="2160"/>
        <w:gridCol w:w="5400"/>
      </w:tblGrid>
      <w:tr>
        <w:tblPrEx>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216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c>
          <w:tcPr>
            <w:tcW w:w="540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规定</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联合体投标</w:t>
            </w:r>
          </w:p>
        </w:tc>
        <w:tc>
          <w:tcPr>
            <w:tcW w:w="5400" w:type="dxa"/>
            <w:tcBorders>
              <w:tl2br w:val="nil"/>
              <w:tr2bl w:val="nil"/>
            </w:tcBorders>
            <w:vAlign w:val="center"/>
          </w:tcPr>
          <w:p>
            <w:pPr>
              <w:spacing w:line="400" w:lineRule="exact"/>
              <w:rPr>
                <w:rFonts w:asciiTheme="majorEastAsia" w:eastAsiaTheme="majorEastAsia" w:hAnsiTheme="majorEastAsia" w:cstheme="majorEastAsia"/>
                <w:snapToGrid w:val="0"/>
                <w:color w:val="auto"/>
                <w:kern w:val="0"/>
                <w:szCs w:val="32"/>
                <w:highlight w:val="none"/>
                <w:lang w:val="zh-CN"/>
              </w:rPr>
            </w:pPr>
            <w:r>
              <w:rPr>
                <w:rFonts w:asciiTheme="majorEastAsia" w:eastAsiaTheme="majorEastAsia" w:hAnsiTheme="majorEastAsia" w:cstheme="majorEastAsia" w:hint="eastAsia"/>
                <w:snapToGrid w:val="0"/>
                <w:color w:val="auto"/>
                <w:kern w:val="0"/>
                <w:szCs w:val="32"/>
                <w:highlight w:val="none"/>
                <w:lang w:val="zh-CN"/>
              </w:rPr>
              <w:t>见《招标公告》中“投标人资格要求”部分的相关内容</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投标有效期</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120日历天（从投标截止之日算起）</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投标人的替代方案</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不允许</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left"/>
              <w:rPr>
                <w:rFonts w:asciiTheme="majorEastAsia" w:eastAsiaTheme="majorEastAsia" w:hAnsiTheme="majorEastAsia" w:cstheme="majorEastAsia"/>
                <w:i w:val="0"/>
                <w:iCs w:val="0"/>
                <w:color w:val="auto"/>
                <w:highlight w:val="none"/>
              </w:rPr>
            </w:pPr>
            <w:r>
              <w:rPr>
                <w:rFonts w:asciiTheme="majorEastAsia" w:eastAsiaTheme="majorEastAsia" w:hAnsiTheme="majorEastAsia" w:cstheme="majorEastAsia" w:hint="eastAsia"/>
                <w:i w:val="0"/>
                <w:iCs w:val="0"/>
                <w:color w:val="auto"/>
                <w:highlight w:val="none"/>
              </w:rPr>
              <w:t>4</w:t>
            </w:r>
          </w:p>
        </w:tc>
        <w:tc>
          <w:tcPr>
            <w:tcW w:w="2160" w:type="dxa"/>
            <w:tcBorders>
              <w:tl2br w:val="nil"/>
              <w:tr2bl w:val="nil"/>
            </w:tcBorders>
            <w:vAlign w:val="center"/>
          </w:tcPr>
          <w:p>
            <w:pPr>
              <w:spacing w:line="400" w:lineRule="exact"/>
              <w:jc w:val="left"/>
              <w:rPr>
                <w:rFonts w:asciiTheme="majorEastAsia" w:eastAsiaTheme="majorEastAsia" w:hAnsiTheme="majorEastAsia" w:cstheme="majorEastAsia"/>
                <w:i w:val="0"/>
                <w:iCs w:val="0"/>
                <w:color w:val="auto"/>
                <w:highlight w:val="none"/>
              </w:rPr>
            </w:pPr>
            <w:bookmarkStart w:id="27" w:name="_Hlk71664860"/>
            <w:r>
              <w:rPr>
                <w:rFonts w:ascii="宋体" w:hAnsi="宋体" w:hint="eastAsia"/>
                <w:i w:val="0"/>
                <w:iCs w:val="0"/>
                <w:color w:val="auto"/>
                <w:highlight w:val="none"/>
              </w:rPr>
              <w:t>样品、现场演示、方案讲解</w:t>
            </w:r>
            <w:bookmarkEnd w:id="27"/>
          </w:p>
        </w:tc>
        <w:tc>
          <w:tcPr>
            <w:tcW w:w="5400" w:type="dxa"/>
            <w:tcBorders>
              <w:tl2br w:val="nil"/>
              <w:tr2bl w:val="nil"/>
            </w:tcBorders>
            <w:vAlign w:val="center"/>
          </w:tcPr>
          <w:p>
            <w:pPr>
              <w:spacing w:line="400" w:lineRule="exact"/>
              <w:jc w:val="left"/>
              <w:rPr>
                <w:rFonts w:asciiTheme="majorEastAsia" w:eastAsiaTheme="majorEastAsia" w:hAnsiTheme="majorEastAsia" w:cstheme="majorEastAsia" w:hint="eastAsia"/>
                <w:i w:val="0"/>
                <w:iCs w:val="0"/>
                <w:color w:val="auto"/>
                <w:highlight w:val="none"/>
                <w:lang w:eastAsia="zh-CN"/>
              </w:rPr>
            </w:pPr>
            <w:r>
              <w:rPr>
                <w:rFonts w:asciiTheme="majorEastAsia" w:eastAsiaTheme="majorEastAsia" w:hAnsiTheme="majorEastAsia" w:cstheme="majorEastAsia" w:hint="eastAsia"/>
                <w:i w:val="0"/>
                <w:iCs w:val="0"/>
                <w:color w:val="auto"/>
                <w:highlight w:val="none"/>
                <w:lang w:eastAsia="zh-CN"/>
              </w:rPr>
              <w:t>无</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履约保证金</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合同金额的</w:t>
            </w:r>
            <w:r>
              <w:rPr>
                <w:rFonts w:asciiTheme="majorEastAsia" w:eastAsiaTheme="majorEastAsia" w:hAnsiTheme="majorEastAsia" w:cstheme="majorEastAsia" w:hint="eastAsia"/>
                <w:color w:val="auto"/>
                <w:highlight w:val="none"/>
                <w:u w:val="single"/>
                <w:lang w:val="en-US" w:eastAsia="zh-CN"/>
              </w:rPr>
              <w:t>0</w:t>
            </w:r>
            <w:r>
              <w:rPr>
                <w:rFonts w:asciiTheme="majorEastAsia" w:eastAsiaTheme="majorEastAsia" w:hAnsiTheme="majorEastAsia" w:cstheme="majorEastAsia" w:hint="eastAsia"/>
                <w:color w:val="auto"/>
                <w:highlight w:val="none"/>
              </w:rPr>
              <w:t>%</w:t>
            </w:r>
          </w:p>
        </w:tc>
      </w:tr>
    </w:tbl>
    <w:p>
      <w:pPr>
        <w:rPr>
          <w:rFonts w:asciiTheme="majorEastAsia" w:eastAsiaTheme="majorEastAsia" w:hAnsiTheme="majorEastAsia" w:cstheme="majorEastAsia"/>
          <w:bCs/>
          <w:color w:val="auto"/>
          <w:highlight w:val="none"/>
        </w:rPr>
      </w:pPr>
      <w:r>
        <w:rPr>
          <w:rFonts w:asciiTheme="majorEastAsia" w:eastAsiaTheme="majorEastAsia" w:hAnsiTheme="majorEastAsia" w:cstheme="majorEastAsia" w:hint="eastAsia"/>
          <w:b/>
          <w:color w:val="auto"/>
          <w:szCs w:val="21"/>
          <w:highlight w:val="none"/>
        </w:rPr>
        <w:t>备注：</w:t>
      </w:r>
      <w:r>
        <w:rPr>
          <w:rFonts w:asciiTheme="majorEastAsia" w:eastAsiaTheme="majorEastAsia" w:hAnsiTheme="majorEastAsia" w:cstheme="majorEastAsia" w:hint="eastAsia"/>
          <w:bCs/>
          <w:color w:val="auto"/>
          <w:szCs w:val="21"/>
          <w:highlight w:val="none"/>
        </w:rPr>
        <w:t>本表为通用条款相关内容的补充和明确，如与通用条款相冲突的以本表为准。</w:t>
      </w:r>
    </w:p>
    <w:p>
      <w:pPr>
        <w:pStyle w:val="Heading3"/>
        <w:keepNext w:val="0"/>
        <w:keepLines w:val="0"/>
        <w:numPr>
          <w:ilvl w:val="0"/>
          <w:numId w:val="8"/>
        </w:numPr>
        <w:spacing w:before="231" w:beforeLines="50" w:after="0"/>
        <w:ind w:firstLine="420" w:firstLineChars="200"/>
        <w:rPr>
          <w:rFonts w:asciiTheme="majorEastAsia" w:eastAsiaTheme="majorEastAsia" w:hAnsiTheme="majorEastAsia" w:cstheme="majorEastAsia"/>
          <w:color w:val="auto"/>
          <w:sz w:val="24"/>
          <w:szCs w:val="24"/>
          <w:highlight w:val="none"/>
        </w:rPr>
      </w:pPr>
      <w:bookmarkEnd w:id="19"/>
      <w:bookmarkEnd w:id="20"/>
      <w:bookmarkEnd w:id="21"/>
      <w:bookmarkEnd w:id="22"/>
      <w:bookmarkEnd w:id="23"/>
      <w:bookmarkEnd w:id="24"/>
      <w:bookmarkEnd w:id="25"/>
      <w:bookmarkEnd w:id="26"/>
      <w:bookmarkStart w:id="28" w:name="_Hlk72073432"/>
      <w:bookmarkStart w:id="29" w:name="_Toc128884461"/>
      <w:r>
        <w:rPr>
          <w:rFonts w:asciiTheme="majorEastAsia" w:eastAsiaTheme="majorEastAsia" w:hAnsiTheme="majorEastAsia" w:cstheme="majorEastAsia" w:hint="eastAsia"/>
          <w:color w:val="auto"/>
          <w:sz w:val="24"/>
          <w:szCs w:val="24"/>
          <w:highlight w:val="none"/>
        </w:rPr>
        <w:t>服务</w:t>
      </w:r>
      <w:bookmarkEnd w:id="28"/>
      <w:r>
        <w:rPr>
          <w:rFonts w:asciiTheme="majorEastAsia" w:eastAsiaTheme="majorEastAsia" w:hAnsiTheme="majorEastAsia" w:cstheme="majorEastAsia" w:hint="eastAsia"/>
          <w:color w:val="auto"/>
          <w:sz w:val="24"/>
          <w:szCs w:val="24"/>
          <w:highlight w:val="none"/>
        </w:rPr>
        <w:t>清单</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2160"/>
        <w:gridCol w:w="3610"/>
        <w:gridCol w:w="427"/>
        <w:gridCol w:w="427"/>
        <w:gridCol w:w="1476"/>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249"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序号</w:t>
            </w:r>
          </w:p>
        </w:tc>
        <w:tc>
          <w:tcPr>
            <w:tcW w:w="1266"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color w:val="auto"/>
                <w:szCs w:val="21"/>
                <w:highlight w:val="none"/>
              </w:rPr>
              <w:t>采购计划编号</w:t>
            </w:r>
          </w:p>
        </w:tc>
        <w:tc>
          <w:tcPr>
            <w:tcW w:w="2117" w:type="pct"/>
            <w:vAlign w:val="center"/>
          </w:tcPr>
          <w:p>
            <w:pPr>
              <w:jc w:val="center"/>
              <w:rPr>
                <w:rFonts w:asciiTheme="minorEastAsia" w:eastAsiaTheme="minorEastAsia" w:hAnsiTheme="minorEastAsia" w:hint="eastAsia"/>
                <w:b/>
                <w:bCs/>
                <w:color w:val="auto"/>
                <w:szCs w:val="21"/>
                <w:highlight w:val="none"/>
                <w:lang w:eastAsia="zh-CN"/>
              </w:rPr>
            </w:pPr>
            <w:r>
              <w:rPr>
                <w:rFonts w:asciiTheme="minorEastAsia" w:eastAsiaTheme="minorEastAsia" w:hAnsiTheme="minorEastAsia" w:hint="eastAsia"/>
                <w:b/>
                <w:bCs/>
                <w:color w:val="auto"/>
                <w:szCs w:val="21"/>
                <w:highlight w:val="none"/>
              </w:rPr>
              <w:t>采购项目名称</w:t>
            </w:r>
            <w:r>
              <w:rPr>
                <w:rFonts w:asciiTheme="minorEastAsia" w:eastAsiaTheme="minorEastAsia" w:hAnsiTheme="minorEastAsia" w:hint="eastAsia"/>
                <w:b/>
                <w:bCs/>
                <w:color w:val="auto"/>
                <w:szCs w:val="21"/>
                <w:highlight w:val="none"/>
                <w:lang w:eastAsia="zh-CN"/>
              </w:rPr>
              <w:t>（</w:t>
            </w:r>
            <w:r>
              <w:rPr>
                <w:rFonts w:asciiTheme="minorEastAsia" w:eastAsiaTheme="minorEastAsia" w:hAnsiTheme="minorEastAsia" w:hint="eastAsia"/>
                <w:b/>
                <w:bCs/>
                <w:color w:val="auto"/>
                <w:szCs w:val="21"/>
                <w:highlight w:val="none"/>
              </w:rPr>
              <w:t>服务需求名称</w:t>
            </w:r>
            <w:r>
              <w:rPr>
                <w:rFonts w:asciiTheme="minorEastAsia" w:eastAsiaTheme="minorEastAsia" w:hAnsiTheme="minorEastAsia" w:hint="eastAsia"/>
                <w:b/>
                <w:bCs/>
                <w:color w:val="auto"/>
                <w:szCs w:val="21"/>
                <w:highlight w:val="none"/>
                <w:lang w:eastAsia="zh-CN"/>
              </w:rPr>
              <w:t>）</w:t>
            </w:r>
          </w:p>
        </w:tc>
        <w:tc>
          <w:tcPr>
            <w:tcW w:w="250" w:type="pct"/>
            <w:vAlign w:val="center"/>
          </w:tcPr>
          <w:p>
            <w:pPr>
              <w:jc w:val="center"/>
              <w:rPr>
                <w:rFonts w:asciiTheme="minorEastAsia" w:eastAsiaTheme="minorEastAsia" w:hAnsiTheme="minorEastAsia" w:hint="eastAsia"/>
                <w:b/>
                <w:bCs/>
                <w:color w:val="auto"/>
                <w:szCs w:val="21"/>
                <w:highlight w:val="none"/>
              </w:rPr>
            </w:pPr>
            <w:r>
              <w:rPr>
                <w:rFonts w:asciiTheme="minorEastAsia" w:eastAsiaTheme="minorEastAsia" w:hAnsiTheme="minorEastAsia" w:hint="eastAsia"/>
                <w:b/>
                <w:bCs/>
                <w:color w:val="auto"/>
                <w:szCs w:val="21"/>
                <w:highlight w:val="none"/>
              </w:rPr>
              <w:t>数量</w:t>
            </w:r>
          </w:p>
        </w:tc>
        <w:tc>
          <w:tcPr>
            <w:tcW w:w="250" w:type="pct"/>
            <w:vAlign w:val="center"/>
          </w:tcPr>
          <w:p>
            <w:pPr>
              <w:jc w:val="center"/>
              <w:rPr>
                <w:rFonts w:asciiTheme="minorEastAsia" w:eastAsiaTheme="minorEastAsia" w:hAnsiTheme="minorEastAsia" w:hint="eastAsia"/>
                <w:b/>
                <w:bCs/>
                <w:color w:val="auto"/>
                <w:szCs w:val="21"/>
                <w:highlight w:val="none"/>
              </w:rPr>
            </w:pPr>
            <w:r>
              <w:rPr>
                <w:rFonts w:asciiTheme="minorEastAsia" w:eastAsiaTheme="minorEastAsia" w:hAnsiTheme="minorEastAsia" w:hint="eastAsia"/>
                <w:b/>
                <w:bCs/>
                <w:color w:val="auto"/>
                <w:szCs w:val="21"/>
                <w:highlight w:val="none"/>
              </w:rPr>
              <w:t>单位</w:t>
            </w:r>
          </w:p>
        </w:tc>
        <w:tc>
          <w:tcPr>
            <w:tcW w:w="865"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财政预算限额（元）</w:t>
            </w:r>
          </w:p>
        </w:tc>
      </w:tr>
      <w:tr>
        <w:tblPrEx>
          <w:tblW w:w="4998" w:type="pct"/>
          <w:jc w:val="center"/>
          <w:tblLayout w:type="fixed"/>
          <w:tblCellMar>
            <w:top w:w="0" w:type="dxa"/>
            <w:left w:w="108" w:type="dxa"/>
            <w:bottom w:w="0" w:type="dxa"/>
            <w:right w:w="108" w:type="dxa"/>
          </w:tblCellMar>
        </w:tblPrEx>
        <w:trPr>
          <w:trHeight w:val="340"/>
          <w:jc w:val="center"/>
        </w:trPr>
        <w:tc>
          <w:tcPr>
            <w:tcW w:w="249" w:type="pct"/>
            <w:vAlign w:val="center"/>
          </w:tcPr>
          <w:p>
            <w:pPr>
              <w:jc w:val="center"/>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rPr>
              <w:t>1</w:t>
            </w:r>
          </w:p>
        </w:tc>
        <w:tc>
          <w:tcPr>
            <w:tcW w:w="1266" w:type="pct"/>
            <w:vAlign w:val="center"/>
          </w:tcPr>
          <w:p>
            <w:pPr>
              <w:jc w:val="center"/>
              <w:rPr>
                <w:rFonts w:asciiTheme="minorEastAsia" w:eastAsiaTheme="minorEastAsia" w:hAnsiTheme="minorEastAsia"/>
                <w:b w:val="0"/>
                <w:bCs/>
                <w:color w:val="auto"/>
                <w:szCs w:val="21"/>
                <w:highlight w:val="none"/>
              </w:rPr>
            </w:pPr>
            <w:r>
              <w:rPr>
                <w:rFonts w:asciiTheme="minorEastAsia" w:eastAsiaTheme="minorEastAsia" w:hAnsiTheme="minorEastAsia" w:hint="eastAsia"/>
                <w:b w:val="0"/>
                <w:bCs/>
                <w:color w:val="auto"/>
                <w:szCs w:val="21"/>
                <w:highlight w:val="none"/>
              </w:rPr>
              <w:t>PLAN-2023-440300000-609001-19814</w:t>
            </w:r>
          </w:p>
        </w:tc>
        <w:tc>
          <w:tcPr>
            <w:tcW w:w="2117" w:type="pct"/>
            <w:vAlign w:val="center"/>
          </w:tcPr>
          <w:p>
            <w:pPr>
              <w:jc w:val="center"/>
              <w:rPr>
                <w:rFonts w:asciiTheme="minorEastAsia" w:eastAsiaTheme="minorEastAsia" w:hAnsiTheme="minorEastAsia"/>
                <w:b w:val="0"/>
                <w:bCs/>
                <w:color w:val="auto"/>
                <w:szCs w:val="21"/>
                <w:highlight w:val="none"/>
              </w:rPr>
            </w:pPr>
            <w:r>
              <w:rPr>
                <w:rFonts w:asciiTheme="minorEastAsia" w:eastAsiaTheme="minorEastAsia" w:hAnsiTheme="minorEastAsia" w:hint="eastAsia"/>
                <w:b w:val="0"/>
                <w:bCs/>
                <w:color w:val="auto"/>
                <w:szCs w:val="21"/>
                <w:highlight w:val="none"/>
              </w:rPr>
              <w:t>2024年度无障碍城市建设</w:t>
            </w:r>
          </w:p>
        </w:tc>
        <w:tc>
          <w:tcPr>
            <w:tcW w:w="250" w:type="pct"/>
            <w:vAlign w:val="center"/>
          </w:tcPr>
          <w:p>
            <w:pPr>
              <w:jc w:val="center"/>
              <w:rPr>
                <w:rFonts w:asciiTheme="minorEastAsia" w:eastAsiaTheme="minorEastAsia" w:hAnsiTheme="minorEastAsia" w:hint="eastAsia"/>
                <w:b w:val="0"/>
                <w:bCs/>
                <w:color w:val="auto"/>
                <w:szCs w:val="21"/>
                <w:highlight w:val="none"/>
                <w:lang w:val="en-US" w:eastAsia="zh-CN"/>
              </w:rPr>
            </w:pPr>
            <w:r>
              <w:rPr>
                <w:rFonts w:asciiTheme="minorEastAsia" w:eastAsiaTheme="minorEastAsia" w:hAnsiTheme="minorEastAsia" w:hint="eastAsia"/>
                <w:b w:val="0"/>
                <w:bCs/>
                <w:color w:val="auto"/>
                <w:szCs w:val="21"/>
                <w:highlight w:val="none"/>
                <w:lang w:val="en-US" w:eastAsia="zh-CN"/>
              </w:rPr>
              <w:t>1</w:t>
            </w:r>
          </w:p>
        </w:tc>
        <w:tc>
          <w:tcPr>
            <w:tcW w:w="250" w:type="pct"/>
            <w:vAlign w:val="center"/>
          </w:tcPr>
          <w:p>
            <w:pPr>
              <w:jc w:val="center"/>
              <w:rPr>
                <w:rFonts w:asciiTheme="minorEastAsia" w:eastAsiaTheme="minorEastAsia" w:hAnsiTheme="minorEastAsia" w:hint="eastAsia"/>
                <w:b w:val="0"/>
                <w:bCs/>
                <w:color w:val="auto"/>
                <w:szCs w:val="21"/>
                <w:highlight w:val="none"/>
                <w:lang w:eastAsia="zh-CN"/>
              </w:rPr>
            </w:pPr>
            <w:r>
              <w:rPr>
                <w:rFonts w:asciiTheme="minorEastAsia" w:eastAsiaTheme="minorEastAsia" w:hAnsiTheme="minorEastAsia" w:hint="eastAsia"/>
                <w:b w:val="0"/>
                <w:bCs/>
                <w:color w:val="auto"/>
                <w:szCs w:val="21"/>
                <w:highlight w:val="none"/>
                <w:lang w:eastAsia="zh-CN"/>
              </w:rPr>
              <w:t>项</w:t>
            </w:r>
          </w:p>
        </w:tc>
        <w:tc>
          <w:tcPr>
            <w:tcW w:w="865" w:type="pct"/>
            <w:vAlign w:val="center"/>
          </w:tcPr>
          <w:p>
            <w:pPr>
              <w:jc w:val="center"/>
              <w:rPr>
                <w:rFonts w:asciiTheme="minorEastAsia" w:eastAsiaTheme="minorEastAsia" w:hAnsiTheme="minorEastAsia"/>
                <w:b w:val="0"/>
                <w:bCs/>
                <w:color w:val="auto"/>
                <w:szCs w:val="21"/>
                <w:highlight w:val="none"/>
              </w:rPr>
            </w:pPr>
            <w:r>
              <w:rPr>
                <w:rFonts w:asciiTheme="minorEastAsia" w:eastAsiaTheme="minorEastAsia" w:hAnsiTheme="minorEastAsia" w:hint="eastAsia"/>
                <w:b w:val="0"/>
                <w:bCs/>
                <w:color w:val="auto"/>
                <w:szCs w:val="21"/>
                <w:highlight w:val="none"/>
              </w:rPr>
              <w:t>1,400,000.00</w:t>
            </w:r>
          </w:p>
        </w:tc>
      </w:tr>
    </w:tbl>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三</w:t>
      </w:r>
      <w:r>
        <w:rPr>
          <w:rFonts w:asciiTheme="majorEastAsia" w:eastAsiaTheme="majorEastAsia" w:hAnsiTheme="majorEastAsia" w:cstheme="majorEastAsia" w:hint="eastAsia"/>
          <w:color w:val="auto"/>
          <w:sz w:val="24"/>
          <w:szCs w:val="24"/>
          <w:highlight w:val="none"/>
        </w:rPr>
        <w:t>、实质性响应条款</w:t>
      </w:r>
    </w:p>
    <w:tbl>
      <w:tblPr>
        <w:tblStyle w:val="TableNormal"/>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
        <w:gridCol w:w="7623"/>
      </w:tblGrid>
      <w:tr>
        <w:tblPrEx>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7623"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具体内容</w:t>
            </w:r>
          </w:p>
        </w:tc>
      </w:tr>
      <w:tr>
        <w:tblPrEx>
          <w:tblW w:w="8529" w:type="dxa"/>
          <w:jc w:val="center"/>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7623"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具体以招标文件第</w:t>
            </w:r>
            <w:r>
              <w:rPr>
                <w:rFonts w:asciiTheme="majorEastAsia" w:eastAsiaTheme="majorEastAsia" w:hAnsiTheme="majorEastAsia" w:cstheme="majorEastAsia" w:hint="eastAsia"/>
                <w:color w:val="auto"/>
                <w:kern w:val="0"/>
                <w:szCs w:val="21"/>
                <w:highlight w:val="none"/>
                <w:lang w:val="en-US" w:eastAsia="zh-CN"/>
              </w:rPr>
              <w:t>二</w:t>
            </w:r>
            <w:r>
              <w:rPr>
                <w:rFonts w:asciiTheme="majorEastAsia" w:eastAsiaTheme="majorEastAsia" w:hAnsiTheme="majorEastAsia" w:cstheme="majorEastAsia" w:hint="eastAsia"/>
                <w:color w:val="auto"/>
                <w:kern w:val="0"/>
                <w:szCs w:val="21"/>
                <w:highlight w:val="none"/>
              </w:rPr>
              <w:t>章用户需求书中带“★”的需求项为准。</w:t>
            </w:r>
          </w:p>
        </w:tc>
      </w:tr>
    </w:tbl>
    <w:p>
      <w:pPr>
        <w:rPr>
          <w:rFonts w:asciiTheme="majorEastAsia" w:eastAsiaTheme="majorEastAsia" w:hAnsiTheme="majorEastAsia" w:cstheme="majorEastAsia"/>
          <w:b/>
          <w:color w:val="auto"/>
          <w:kern w:val="0"/>
          <w:szCs w:val="21"/>
          <w:highlight w:val="none"/>
        </w:rPr>
      </w:pPr>
      <w:r>
        <w:rPr>
          <w:rFonts w:asciiTheme="majorEastAsia" w:eastAsiaTheme="majorEastAsia" w:hAnsiTheme="majorEastAsia" w:cstheme="majorEastAsia" w:hint="eastAsia"/>
          <w:b/>
          <w:color w:val="auto"/>
          <w:szCs w:val="21"/>
          <w:highlight w:val="none"/>
        </w:rPr>
        <w:t>备</w:t>
      </w:r>
      <w:r>
        <w:rPr>
          <w:rFonts w:asciiTheme="majorEastAsia" w:eastAsiaTheme="majorEastAsia" w:hAnsiTheme="majorEastAsia" w:cstheme="majorEastAsia" w:hint="eastAsia"/>
          <w:b/>
          <w:color w:val="auto"/>
          <w:kern w:val="0"/>
          <w:szCs w:val="21"/>
          <w:highlight w:val="none"/>
        </w:rPr>
        <w:t>注：</w:t>
      </w:r>
      <w:r>
        <w:rPr>
          <w:rFonts w:asciiTheme="majorEastAsia" w:eastAsiaTheme="majorEastAsia" w:hAnsiTheme="majorEastAsia" w:cstheme="majorEastAsia" w:hint="eastAsia"/>
          <w:bCs/>
          <w:color w:val="auto"/>
          <w:kern w:val="0"/>
          <w:szCs w:val="21"/>
          <w:highlight w:val="none"/>
        </w:rPr>
        <w:t>上表所列内容为不可负偏离条款，负偏离或未响应将视为未实质性满足招标文件要求作投标无效处理。</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bookmarkEnd w:id="29"/>
      <w:r>
        <w:rPr>
          <w:rFonts w:asciiTheme="majorEastAsia" w:eastAsiaTheme="majorEastAsia" w:hAnsiTheme="majorEastAsia" w:cstheme="majorEastAsia" w:hint="eastAsia"/>
          <w:color w:val="auto"/>
          <w:kern w:val="0"/>
          <w:szCs w:val="21"/>
          <w:highlight w:val="none"/>
        </w:rPr>
        <w:t>★</w:t>
      </w:r>
      <w:r>
        <w:rPr>
          <w:rFonts w:asciiTheme="majorEastAsia" w:eastAsiaTheme="majorEastAsia" w:hAnsiTheme="majorEastAsia" w:cstheme="majorEastAsia" w:hint="eastAsia"/>
          <w:color w:val="auto"/>
          <w:sz w:val="24"/>
          <w:szCs w:val="24"/>
          <w:highlight w:val="none"/>
          <w:lang w:eastAsia="zh-CN"/>
        </w:rPr>
        <w:t>四</w:t>
      </w:r>
      <w:r>
        <w:rPr>
          <w:rFonts w:asciiTheme="majorEastAsia" w:eastAsiaTheme="majorEastAsia" w:hAnsiTheme="majorEastAsia" w:cstheme="majorEastAsia" w:hint="eastAsia"/>
          <w:color w:val="auto"/>
          <w:sz w:val="24"/>
          <w:szCs w:val="24"/>
          <w:highlight w:val="none"/>
        </w:rPr>
        <w:t>、技术要求</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1.组织包含</w:t>
      </w:r>
      <w:r>
        <w:rPr>
          <w:rFonts w:asciiTheme="majorEastAsia" w:eastAsiaTheme="majorEastAsia" w:hAnsiTheme="majorEastAsia" w:cstheme="majorEastAsia" w:hint="eastAsia"/>
          <w:color w:val="auto"/>
          <w:szCs w:val="28"/>
          <w:highlight w:val="none"/>
        </w:rPr>
        <w:t>国家或本市知名无障碍领域专家</w:t>
      </w:r>
      <w:r>
        <w:rPr>
          <w:rFonts w:asciiTheme="majorEastAsia" w:eastAsiaTheme="majorEastAsia" w:hAnsiTheme="majorEastAsia" w:cstheme="majorEastAsia" w:hint="eastAsia"/>
          <w:color w:val="auto"/>
          <w:szCs w:val="28"/>
          <w:highlight w:val="none"/>
        </w:rPr>
        <w:t>和各类残疾人代表的评估工作团队完成不少于60个无障碍项目或产品的设计评估案例，每个案例应有项目、产品设计方案和无障碍设计评估报告，每个案例应有2名</w:t>
      </w:r>
      <w:r>
        <w:rPr>
          <w:rFonts w:asciiTheme="majorEastAsia" w:eastAsiaTheme="majorEastAsia" w:hAnsiTheme="majorEastAsia" w:cstheme="majorEastAsia" w:hint="eastAsia"/>
          <w:color w:val="auto"/>
          <w:szCs w:val="28"/>
          <w:highlight w:val="none"/>
          <w:lang w:val="en-US" w:eastAsia="zh-CN"/>
        </w:rPr>
        <w:t>或</w:t>
      </w:r>
      <w:r>
        <w:rPr>
          <w:rFonts w:asciiTheme="majorEastAsia" w:eastAsiaTheme="majorEastAsia" w:hAnsiTheme="majorEastAsia" w:cstheme="majorEastAsia" w:hint="eastAsia"/>
          <w:color w:val="auto"/>
          <w:szCs w:val="28"/>
          <w:highlight w:val="none"/>
        </w:rPr>
        <w:t>以上专家参与评审</w:t>
      </w:r>
      <w:r>
        <w:rPr>
          <w:rFonts w:asciiTheme="majorEastAsia" w:eastAsiaTheme="majorEastAsia" w:hAnsiTheme="majorEastAsia" w:cstheme="majorEastAsia" w:hint="eastAsia"/>
          <w:color w:val="auto"/>
          <w:szCs w:val="28"/>
          <w:highlight w:val="none"/>
          <w:lang w:eastAsia="zh-CN"/>
        </w:rPr>
        <w:t>，</w:t>
      </w:r>
      <w:r>
        <w:rPr>
          <w:rFonts w:asciiTheme="majorEastAsia" w:eastAsiaTheme="majorEastAsia" w:hAnsiTheme="majorEastAsia" w:cstheme="majorEastAsia" w:hint="eastAsia"/>
          <w:color w:val="auto"/>
          <w:szCs w:val="28"/>
          <w:highlight w:val="none"/>
          <w:lang w:val="en-US" w:eastAsia="zh-CN"/>
        </w:rPr>
        <w:t>并实地勘察、召开项目评估会、撰写报告</w:t>
      </w:r>
      <w:r>
        <w:rPr>
          <w:rFonts w:asciiTheme="majorEastAsia" w:eastAsiaTheme="majorEastAsia" w:hAnsiTheme="majorEastAsia" w:cstheme="majorEastAsia" w:hint="eastAsia"/>
          <w:color w:val="auto"/>
          <w:szCs w:val="28"/>
          <w:highlight w:val="none"/>
        </w:rPr>
        <w:t>。</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2.组织包括建筑和信息技术专业人员、各类残疾人代表的无障碍运营监管和后评价团队完成不少于170个无障碍运营监管和后评价案例，每个案例须现场评测并提出整改意见、现场评测记录表和试用评测报告</w:t>
      </w:r>
      <w:r>
        <w:rPr>
          <w:rFonts w:asciiTheme="majorEastAsia" w:eastAsiaTheme="majorEastAsia" w:hAnsiTheme="majorEastAsia" w:cstheme="majorEastAsia" w:hint="eastAsia"/>
          <w:color w:val="auto"/>
          <w:szCs w:val="28"/>
          <w:highlight w:val="none"/>
          <w:lang w:eastAsia="zh-CN"/>
        </w:rPr>
        <w:t>，每个项目安排现场评测专职技术人员</w:t>
      </w:r>
      <w:r>
        <w:rPr>
          <w:rFonts w:asciiTheme="majorEastAsia" w:eastAsiaTheme="majorEastAsia" w:hAnsiTheme="majorEastAsia" w:cstheme="majorEastAsia" w:hint="eastAsia"/>
          <w:color w:val="auto"/>
          <w:szCs w:val="28"/>
          <w:highlight w:val="none"/>
          <w:lang w:val="en-US" w:eastAsia="zh-CN"/>
        </w:rPr>
        <w:t>3-</w:t>
      </w:r>
      <w:r>
        <w:rPr>
          <w:rFonts w:asciiTheme="majorEastAsia" w:eastAsiaTheme="majorEastAsia" w:hAnsiTheme="majorEastAsia" w:cstheme="majorEastAsia" w:hint="eastAsia"/>
          <w:color w:val="auto"/>
          <w:szCs w:val="28"/>
          <w:highlight w:val="none"/>
          <w:lang w:eastAsia="zh-CN"/>
        </w:rPr>
        <w:t>5人</w:t>
      </w:r>
      <w:r>
        <w:rPr>
          <w:rFonts w:asciiTheme="majorEastAsia" w:eastAsiaTheme="majorEastAsia" w:hAnsiTheme="majorEastAsia" w:cstheme="majorEastAsia" w:hint="eastAsia"/>
          <w:color w:val="auto"/>
          <w:szCs w:val="28"/>
          <w:highlight w:val="none"/>
        </w:rPr>
        <w:t>。</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3.开展旅游景区、交通场站、商业街区、学校、公共服务、互联网信息交流和服务场景等无障碍体验活动及无障碍知识进校园7场</w:t>
      </w:r>
      <w:r>
        <w:rPr>
          <w:rFonts w:asciiTheme="majorEastAsia" w:eastAsiaTheme="majorEastAsia" w:hAnsiTheme="majorEastAsia" w:cstheme="majorEastAsia" w:hint="eastAsia"/>
          <w:color w:val="auto"/>
          <w:szCs w:val="28"/>
          <w:highlight w:val="none"/>
          <w:lang w:eastAsia="zh-CN"/>
        </w:rPr>
        <w:t>，每场20-30人参加</w:t>
      </w:r>
      <w:r>
        <w:rPr>
          <w:rFonts w:asciiTheme="majorEastAsia" w:eastAsiaTheme="majorEastAsia" w:hAnsiTheme="majorEastAsia" w:cstheme="majorEastAsia" w:hint="eastAsia"/>
          <w:color w:val="auto"/>
          <w:szCs w:val="28"/>
          <w:highlight w:val="none"/>
        </w:rPr>
        <w:t>。</w:t>
      </w:r>
    </w:p>
    <w:p>
      <w:pPr>
        <w:ind w:firstLine="420" w:firstLineChars="200"/>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4.</w:t>
      </w:r>
      <w:r>
        <w:rPr>
          <w:rFonts w:asciiTheme="majorEastAsia" w:eastAsiaTheme="majorEastAsia" w:hAnsiTheme="majorEastAsia" w:cstheme="majorEastAsia" w:hint="default"/>
          <w:color w:val="auto"/>
          <w:szCs w:val="28"/>
          <w:highlight w:val="none"/>
        </w:rPr>
        <w:t>协助</w:t>
      </w:r>
      <w:r>
        <w:rPr>
          <w:rFonts w:asciiTheme="majorEastAsia" w:eastAsiaTheme="majorEastAsia" w:hAnsiTheme="majorEastAsia" w:cstheme="majorEastAsia" w:hint="eastAsia"/>
          <w:color w:val="auto"/>
          <w:szCs w:val="28"/>
          <w:highlight w:val="none"/>
        </w:rPr>
        <w:t>开展全国无障碍示范城市参评、创建、迎检相关工作。</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val="en-US" w:eastAsia="zh-CN"/>
        </w:rPr>
        <w:t>五</w:t>
      </w:r>
      <w:r>
        <w:rPr>
          <w:rFonts w:asciiTheme="majorEastAsia" w:eastAsiaTheme="majorEastAsia" w:hAnsiTheme="majorEastAsia" w:cstheme="majorEastAsia" w:hint="eastAsia"/>
          <w:color w:val="auto"/>
          <w:sz w:val="24"/>
          <w:szCs w:val="24"/>
          <w:highlight w:val="none"/>
        </w:rPr>
        <w:t>、商务要求</w:t>
      </w:r>
    </w:p>
    <w:p>
      <w:pPr>
        <w:spacing w:line="440" w:lineRule="exact"/>
        <w:ind w:firstLine="420" w:firstLineChars="200"/>
        <w:rPr>
          <w:rFonts w:asciiTheme="majorEastAsia" w:eastAsiaTheme="majorEastAsia" w:hAnsiTheme="majorEastAsia" w:cstheme="majorEastAsia" w:hint="eastAsia"/>
          <w:color w:val="auto"/>
          <w:highlight w:val="none"/>
          <w:u w:val="single"/>
          <w:lang w:eastAsia="zh-CN"/>
        </w:rPr>
      </w:pPr>
      <w:r>
        <w:rPr>
          <w:rFonts w:asciiTheme="majorEastAsia" w:eastAsiaTheme="majorEastAsia" w:hAnsiTheme="majorEastAsia" w:cstheme="majorEastAsia" w:hint="eastAsia"/>
          <w:color w:val="auto"/>
          <w:kern w:val="0"/>
          <w:szCs w:val="21"/>
          <w:highlight w:val="none"/>
        </w:rPr>
        <w:t>★</w:t>
      </w:r>
      <w:r>
        <w:rPr>
          <w:rFonts w:asciiTheme="majorEastAsia" w:eastAsiaTheme="majorEastAsia" w:hAnsiTheme="majorEastAsia" w:cstheme="majorEastAsia" w:hint="eastAsia"/>
          <w:color w:val="auto"/>
          <w:highlight w:val="none"/>
        </w:rPr>
        <w:t>（一）服务期限：自合同签订之日起至2024年12月31日</w:t>
      </w:r>
      <w:r>
        <w:rPr>
          <w:rFonts w:asciiTheme="majorEastAsia" w:eastAsiaTheme="majorEastAsia" w:hAnsiTheme="majorEastAsia" w:cstheme="majorEastAsia" w:hint="eastAsia"/>
          <w:color w:val="auto"/>
          <w:highlight w:val="none"/>
          <w:lang w:eastAsia="zh-CN"/>
        </w:rPr>
        <w:t>。</w:t>
      </w:r>
    </w:p>
    <w:p>
      <w:pPr>
        <w:spacing w:line="440" w:lineRule="exact"/>
        <w:ind w:firstLine="420" w:firstLineChars="200"/>
        <w:rPr>
          <w:rFonts w:asciiTheme="majorEastAsia" w:eastAsiaTheme="majorEastAsia" w:hAnsiTheme="majorEastAsia" w:cstheme="majorEastAsia" w:hint="eastAsia"/>
          <w:color w:val="auto"/>
          <w:highlight w:val="none"/>
          <w:lang w:eastAsia="zh-CN"/>
        </w:rPr>
      </w:pPr>
      <w:r>
        <w:rPr>
          <w:rFonts w:asciiTheme="majorEastAsia" w:eastAsiaTheme="majorEastAsia" w:hAnsiTheme="majorEastAsia" w:cstheme="majorEastAsia" w:hint="eastAsia"/>
          <w:color w:val="auto"/>
          <w:highlight w:val="none"/>
        </w:rPr>
        <w:t>（二）付款方式：</w:t>
      </w:r>
      <w:r>
        <w:rPr>
          <w:rFonts w:ascii="宋体" w:hAnsi="宋体" w:hint="eastAsia"/>
          <w:b w:val="0"/>
          <w:bCs w:val="0"/>
          <w:color w:val="auto"/>
          <w:szCs w:val="21"/>
          <w:highlight w:val="none"/>
        </w:rPr>
        <w:t>项目经费分</w:t>
      </w:r>
      <w:r>
        <w:rPr>
          <w:rFonts w:ascii="宋体" w:hAnsi="宋体" w:hint="eastAsia"/>
          <w:b w:val="0"/>
          <w:bCs w:val="0"/>
          <w:color w:val="auto"/>
          <w:szCs w:val="21"/>
          <w:highlight w:val="none"/>
          <w:lang w:val="en-US" w:eastAsia="zh-CN"/>
        </w:rPr>
        <w:t>三</w:t>
      </w:r>
      <w:r>
        <w:rPr>
          <w:rFonts w:ascii="宋体" w:hAnsi="宋体" w:hint="eastAsia"/>
          <w:b w:val="0"/>
          <w:bCs w:val="0"/>
          <w:color w:val="auto"/>
          <w:szCs w:val="21"/>
          <w:highlight w:val="none"/>
        </w:rPr>
        <w:t>次支付，采购人于双方合同签订后30个工作日内支付</w:t>
      </w:r>
      <w:r>
        <w:rPr>
          <w:rFonts w:ascii="宋体" w:hAnsi="宋体" w:hint="eastAsia"/>
          <w:b w:val="0"/>
          <w:bCs w:val="0"/>
          <w:color w:val="auto"/>
          <w:szCs w:val="21"/>
          <w:highlight w:val="none"/>
          <w:lang w:val="en-US" w:eastAsia="zh-CN"/>
        </w:rPr>
        <w:t>合同金额</w:t>
      </w:r>
      <w:r>
        <w:rPr>
          <w:rFonts w:ascii="宋体" w:hAnsi="宋体" w:hint="eastAsia"/>
          <w:b w:val="0"/>
          <w:bCs w:val="0"/>
          <w:color w:val="auto"/>
          <w:szCs w:val="21"/>
          <w:highlight w:val="none"/>
        </w:rPr>
        <w:t>的7</w:t>
      </w:r>
      <w:r>
        <w:rPr>
          <w:rFonts w:ascii="宋体" w:hAnsi="宋体" w:hint="eastAsia"/>
          <w:b w:val="0"/>
          <w:bCs w:val="0"/>
          <w:color w:val="auto"/>
          <w:szCs w:val="21"/>
          <w:highlight w:val="none"/>
          <w:lang w:val="en-US" w:eastAsia="zh-CN"/>
        </w:rPr>
        <w:t>0</w:t>
      </w:r>
      <w:r>
        <w:rPr>
          <w:rFonts w:ascii="宋体" w:hAnsi="宋体" w:hint="eastAsia"/>
          <w:b w:val="0"/>
          <w:bCs w:val="0"/>
          <w:color w:val="auto"/>
          <w:szCs w:val="21"/>
          <w:highlight w:val="none"/>
        </w:rPr>
        <w:t>%给中标人；</w:t>
      </w:r>
      <w:r>
        <w:rPr>
          <w:rFonts w:ascii="宋体" w:hAnsi="宋体" w:hint="eastAsia"/>
          <w:b w:val="0"/>
          <w:bCs w:val="0"/>
          <w:color w:val="auto"/>
          <w:szCs w:val="21"/>
          <w:highlight w:val="none"/>
          <w:lang w:val="en-US" w:eastAsia="zh-CN"/>
        </w:rPr>
        <w:t>合同签订六个月后</w:t>
      </w:r>
      <w:r>
        <w:rPr>
          <w:rFonts w:ascii="宋体" w:hAnsi="宋体" w:hint="eastAsia"/>
          <w:b w:val="0"/>
          <w:bCs w:val="0"/>
          <w:color w:val="auto"/>
          <w:szCs w:val="21"/>
          <w:highlight w:val="none"/>
          <w:lang w:eastAsia="zh-CN"/>
        </w:rPr>
        <w:t>支付中标人</w:t>
      </w:r>
      <w:r>
        <w:rPr>
          <w:rFonts w:ascii="宋体" w:hAnsi="宋体" w:hint="eastAsia"/>
          <w:b w:val="0"/>
          <w:bCs w:val="0"/>
          <w:color w:val="auto"/>
          <w:szCs w:val="21"/>
          <w:highlight w:val="none"/>
          <w:lang w:val="en-US" w:eastAsia="zh-CN"/>
        </w:rPr>
        <w:t>合同金额</w:t>
      </w:r>
      <w:r>
        <w:rPr>
          <w:rFonts w:ascii="宋体" w:hAnsi="宋体" w:hint="eastAsia"/>
          <w:b w:val="0"/>
          <w:bCs w:val="0"/>
          <w:color w:val="auto"/>
          <w:szCs w:val="21"/>
          <w:highlight w:val="none"/>
        </w:rPr>
        <w:t>的</w:t>
      </w:r>
      <w:r>
        <w:rPr>
          <w:rFonts w:ascii="宋体" w:hAnsi="宋体" w:hint="eastAsia"/>
          <w:b w:val="0"/>
          <w:bCs w:val="0"/>
          <w:color w:val="auto"/>
          <w:szCs w:val="21"/>
          <w:highlight w:val="none"/>
          <w:lang w:val="en-US" w:eastAsia="zh-CN"/>
        </w:rPr>
        <w:t>20%，</w:t>
      </w:r>
      <w:r>
        <w:rPr>
          <w:rFonts w:ascii="宋体" w:hAnsi="宋体" w:hint="eastAsia"/>
          <w:b w:val="0"/>
          <w:bCs w:val="0"/>
          <w:color w:val="auto"/>
          <w:szCs w:val="21"/>
          <w:highlight w:val="none"/>
        </w:rPr>
        <w:t>项目结束后，采购人进行项目终期验收，验收通过后支付</w:t>
      </w:r>
      <w:r>
        <w:rPr>
          <w:rFonts w:ascii="宋体" w:hAnsi="宋体" w:hint="eastAsia"/>
          <w:b w:val="0"/>
          <w:bCs w:val="0"/>
          <w:color w:val="auto"/>
          <w:szCs w:val="21"/>
          <w:highlight w:val="none"/>
          <w:lang w:val="en-US" w:eastAsia="zh-CN"/>
        </w:rPr>
        <w:t>合同金额</w:t>
      </w:r>
      <w:r>
        <w:rPr>
          <w:rFonts w:ascii="宋体" w:hAnsi="宋体" w:hint="eastAsia"/>
          <w:b w:val="0"/>
          <w:bCs w:val="0"/>
          <w:color w:val="auto"/>
          <w:szCs w:val="21"/>
          <w:highlight w:val="none"/>
        </w:rPr>
        <w:t>的</w:t>
      </w:r>
      <w:r>
        <w:rPr>
          <w:rFonts w:ascii="宋体" w:hAnsi="宋体" w:hint="eastAsia"/>
          <w:b w:val="0"/>
          <w:bCs w:val="0"/>
          <w:color w:val="auto"/>
          <w:szCs w:val="21"/>
          <w:highlight w:val="none"/>
          <w:lang w:val="en-US" w:eastAsia="zh-CN"/>
        </w:rPr>
        <w:t>10</w:t>
      </w:r>
      <w:r>
        <w:rPr>
          <w:rFonts w:ascii="宋体" w:hAnsi="宋体" w:hint="eastAsia"/>
          <w:b w:val="0"/>
          <w:bCs w:val="0"/>
          <w:color w:val="auto"/>
          <w:szCs w:val="21"/>
          <w:highlight w:val="none"/>
        </w:rPr>
        <w:t>%给中标人</w:t>
      </w:r>
      <w:r>
        <w:rPr>
          <w:rFonts w:asciiTheme="majorEastAsia" w:eastAsiaTheme="majorEastAsia" w:hAnsiTheme="majorEastAsia" w:cstheme="majorEastAsia" w:hint="eastAsia"/>
          <w:color w:val="auto"/>
          <w:highlight w:val="none"/>
          <w:lang w:eastAsia="zh-CN"/>
        </w:rPr>
        <w:t>。</w:t>
      </w:r>
    </w:p>
    <w:p>
      <w:pPr>
        <w:spacing w:line="440" w:lineRule="exact"/>
        <w:ind w:firstLine="420" w:firstLineChars="200"/>
        <w:rPr>
          <w:rFonts w:asciiTheme="majorEastAsia" w:eastAsiaTheme="majorEastAsia" w:hAnsiTheme="majorEastAsia" w:cstheme="majorEastAsia" w:hint="eastAsia"/>
          <w:color w:val="auto"/>
          <w:highlight w:val="none"/>
          <w:lang w:val="en-US" w:eastAsia="zh-CN"/>
        </w:rPr>
      </w:pPr>
      <w:r>
        <w:rPr>
          <w:rFonts w:asciiTheme="majorEastAsia" w:eastAsiaTheme="majorEastAsia" w:hAnsiTheme="majorEastAsia" w:cstheme="majorEastAsia" w:hint="eastAsia"/>
          <w:color w:val="auto"/>
          <w:highlight w:val="none"/>
          <w:lang w:val="en-US" w:eastAsia="zh-CN"/>
        </w:rPr>
        <w:t>备注：</w:t>
      </w:r>
      <w:r>
        <w:rPr>
          <w:rFonts w:asciiTheme="majorEastAsia" w:eastAsiaTheme="majorEastAsia" w:hAnsiTheme="majorEastAsia" w:cstheme="majorEastAsia" w:hint="eastAsia"/>
          <w:color w:val="auto"/>
          <w:highlight w:val="none"/>
          <w:lang w:eastAsia="zh-CN"/>
        </w:rPr>
        <w:t>如付款方式与深圳市财政局相关规定有冲突，以深圳市财政局相关规定为准</w:t>
      </w:r>
      <w:r>
        <w:rPr>
          <w:rFonts w:asciiTheme="majorEastAsia" w:eastAsiaTheme="majorEastAsia" w:hAnsiTheme="majorEastAsia" w:cstheme="majorEastAsia" w:hint="eastAsia"/>
          <w:color w:val="auto"/>
          <w:highlight w:val="none"/>
          <w:lang w:val="en-US" w:eastAsia="zh-CN"/>
        </w:rPr>
        <w:t>。</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val="en-US" w:eastAsia="zh-CN"/>
        </w:rPr>
        <w:t>六</w:t>
      </w:r>
      <w:r>
        <w:rPr>
          <w:rFonts w:asciiTheme="majorEastAsia" w:eastAsiaTheme="majorEastAsia" w:hAnsiTheme="majorEastAsia" w:cstheme="majorEastAsia" w:hint="eastAsia"/>
          <w:color w:val="auto"/>
          <w:sz w:val="24"/>
          <w:szCs w:val="24"/>
          <w:highlight w:val="none"/>
          <w:lang w:eastAsia="zh-CN"/>
        </w:rPr>
        <w:t>、</w:t>
      </w:r>
      <w:r>
        <w:rPr>
          <w:rFonts w:asciiTheme="majorEastAsia" w:eastAsiaTheme="majorEastAsia" w:hAnsiTheme="majorEastAsia" w:cstheme="majorEastAsia" w:hint="eastAsia"/>
          <w:color w:val="auto"/>
          <w:sz w:val="24"/>
          <w:szCs w:val="24"/>
          <w:highlight w:val="none"/>
        </w:rPr>
        <w:t>其他要求</w:t>
      </w:r>
    </w:p>
    <w:p>
      <w:pPr>
        <w:spacing w:line="440" w:lineRule="exact"/>
        <w:ind w:firstLine="420" w:firstLineChars="200"/>
        <w:rPr>
          <w:rFonts w:asciiTheme="majorEastAsia" w:eastAsiaTheme="majorEastAsia" w:hAnsiTheme="majorEastAsia" w:cstheme="majorEastAsia"/>
          <w:b/>
          <w:bCs/>
          <w:color w:val="auto"/>
          <w:highlight w:val="none"/>
        </w:rPr>
      </w:pPr>
      <w:bookmarkStart w:id="30" w:name="_Hlk72257111"/>
      <w:r>
        <w:rPr>
          <w:rFonts w:asciiTheme="majorEastAsia" w:eastAsiaTheme="majorEastAsia" w:hAnsiTheme="majorEastAsia" w:cstheme="majorEastAsia" w:hint="eastAsia"/>
          <w:b/>
          <w:bCs/>
          <w:color w:val="auto"/>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2、投标人应充分了解项目的位置、情况、道路及任何其它足以影响投标报价的情况，任何因忽视或误解项目情况而导致的索赔或服务期限延长申请将不获批准。</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5、除政府采购合同继续履行将损害国家利益和社会公共利益外，双方当事人不得擅自变更、中止或者终止合同。</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6、“信用中国”、“中国政府采购网”、“深圳信用网”以及“深圳市政府采购监管网”为供应商信用信息的查询渠道，相关信息以开标当日的查询结果为准。</w:t>
      </w:r>
      <w:bookmarkEnd w:id="30"/>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第三章  投标文件格式、附件</w:t>
      </w:r>
    </w:p>
    <w:p>
      <w:pPr>
        <w:rPr>
          <w:rStyle w:val="3Char"/>
          <w:rFonts w:ascii="微软雅黑" w:eastAsia="微软雅黑" w:hAnsi="微软雅黑" w:cs="微软雅黑"/>
          <w:b/>
          <w:color w:val="auto"/>
          <w:sz w:val="24"/>
          <w:highlight w:val="none"/>
        </w:rPr>
      </w:pPr>
      <w:r>
        <w:rPr>
          <w:rStyle w:val="3Char"/>
          <w:rFonts w:ascii="微软雅黑" w:eastAsia="微软雅黑" w:hAnsi="微软雅黑" w:cs="微软雅黑" w:hint="eastAsia"/>
          <w:b/>
          <w:color w:val="auto"/>
          <w:sz w:val="24"/>
          <w:highlight w:val="none"/>
        </w:rPr>
        <w:t>特别提醒：</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投标文件正文（信息公开部分）必须编制于“投标书目录”部分，投标文件附件（非信息公开部分）必须编制于“投标书附件”部分，如下图所示。</w:t>
      </w:r>
    </w:p>
    <w:p>
      <w:pPr>
        <w:rPr>
          <w:rFonts w:ascii="宋体" w:hAnsi="宋体" w:cs="宋体"/>
          <w:color w:val="auto"/>
          <w:szCs w:val="21"/>
          <w:highlight w:val="none"/>
        </w:rPr>
      </w:pPr>
      <w:r>
        <w:rPr>
          <w:rFonts w:ascii="宋体" w:hAnsi="宋体" w:cs="宋体" w:hint="eastAsia"/>
          <w:color w:val="auto"/>
          <w:sz w:val="24"/>
          <w:highlight w:val="none"/>
        </w:rPr>
        <w:drawing>
          <wp:inline distT="0" distB="0" distL="0" distR="0">
            <wp:extent cx="5278755" cy="4126230"/>
            <wp:effectExtent l="0" t="0" r="17145" b="762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spacing w:line="440" w:lineRule="exact"/>
        <w:ind w:firstLine="420" w:firstLineChars="200"/>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color w:val="auto"/>
          <w:szCs w:val="21"/>
          <w:highlight w:val="none"/>
        </w:rPr>
        <w:t>我单位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评标委员会有权作投标无效或相应内容不予得分的处理。</w:t>
      </w:r>
    </w:p>
    <w:p>
      <w:pPr>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b/>
          <w:color w:val="auto"/>
          <w:sz w:val="24"/>
          <w:highlight w:val="none"/>
        </w:rPr>
        <w:br w:type="page"/>
      </w:r>
    </w:p>
    <w:p>
      <w:pPr>
        <w:spacing w:line="400" w:lineRule="exact"/>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投标文件组成：</w:t>
      </w:r>
    </w:p>
    <w:p>
      <w:pPr>
        <w:spacing w:line="360" w:lineRule="exact"/>
        <w:ind w:firstLine="424" w:firstLineChars="202"/>
        <w:rPr>
          <w:rFonts w:asciiTheme="majorEastAsia" w:eastAsiaTheme="majorEastAsia" w:hAnsiTheme="majorEastAsia" w:cstheme="majorEastAsia"/>
          <w:b/>
          <w:bCs/>
          <w:color w:val="auto"/>
          <w:sz w:val="24"/>
          <w:highlight w:val="none"/>
        </w:rPr>
      </w:pPr>
      <w:r>
        <w:rPr>
          <w:rFonts w:asciiTheme="majorEastAsia" w:eastAsiaTheme="majorEastAsia" w:hAnsiTheme="majorEastAsia" w:cstheme="majorEastAsia" w:hint="eastAsia"/>
          <w:b/>
          <w:bCs/>
          <w:color w:val="auto"/>
          <w:highlight w:val="none"/>
        </w:rPr>
        <w:t>一、投标文件正文</w:t>
      </w:r>
      <w:r>
        <w:rPr>
          <w:rFonts w:asciiTheme="majorEastAsia" w:eastAsiaTheme="majorEastAsia" w:hAnsiTheme="majorEastAsia" w:cstheme="majorEastAsia" w:hint="eastAsia"/>
          <w:b/>
          <w:bCs/>
          <w:color w:val="auto"/>
          <w:szCs w:val="21"/>
          <w:highlight w:val="none"/>
        </w:rPr>
        <w:t>（信息公开部分）</w:t>
      </w:r>
      <w:r>
        <w:rPr>
          <w:rFonts w:asciiTheme="majorEastAsia" w:eastAsiaTheme="majorEastAsia" w:hAnsiTheme="majorEastAsia" w:cstheme="majorEastAsia" w:hint="eastAsia"/>
          <w:b/>
          <w:bCs/>
          <w:color w:val="auto"/>
          <w:highlight w:val="none"/>
        </w:rPr>
        <w:t>，主要</w:t>
      </w:r>
      <w:r>
        <w:rPr>
          <w:rFonts w:asciiTheme="majorEastAsia" w:eastAsiaTheme="majorEastAsia" w:hAnsiTheme="majorEastAsia" w:cstheme="majorEastAsia" w:hint="eastAsia"/>
          <w:b/>
          <w:bCs/>
          <w:color w:val="auto"/>
          <w:szCs w:val="21"/>
          <w:highlight w:val="none"/>
        </w:rPr>
        <w:t>包括以下内容：</w:t>
      </w:r>
      <w:r>
        <w:rPr>
          <w:rFonts w:asciiTheme="majorEastAsia" w:eastAsiaTheme="majorEastAsia" w:hAnsiTheme="majorEastAsia" w:cstheme="majorEastAsia" w:hint="eastAsia"/>
          <w:b/>
          <w:bCs/>
          <w:color w:val="auto"/>
          <w:highlight w:val="none"/>
        </w:rPr>
        <w:t>：</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1、投标函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2、政府采购投标及履约承诺函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3、资格证明材料</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8"/>
          <w:highlight w:val="none"/>
        </w:rPr>
        <w:t>中小企业、残疾人福利性单位及监狱企业声明函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5、详细分项报价清单</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p>
    <w:p>
      <w:pPr>
        <w:pStyle w:val="NormalIndent"/>
        <w:spacing w:line="360" w:lineRule="exact"/>
        <w:ind w:firstLine="424" w:firstLineChars="202"/>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二、投标文件附件（非信息公开部分），主要包括以下内容：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1、法定代表人证明书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2、投标文件签署授权委托书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3、实质性响应条款偏离表</w:t>
      </w:r>
    </w:p>
    <w:p>
      <w:pPr>
        <w:pStyle w:val="NormalIndent"/>
        <w:spacing w:line="36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lang w:val="en-US" w:eastAsia="zh-CN"/>
        </w:rPr>
        <w:t>4、</w:t>
      </w:r>
      <w:r>
        <w:rPr>
          <w:rFonts w:asciiTheme="majorEastAsia" w:eastAsiaTheme="majorEastAsia" w:hAnsiTheme="majorEastAsia" w:cstheme="majorEastAsia" w:hint="eastAsia"/>
          <w:color w:val="auto"/>
          <w:szCs w:val="21"/>
          <w:highlight w:val="none"/>
        </w:rPr>
        <w:t>政府采购违法行为风险知悉确认书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val="en-US" w:eastAsia="zh-CN"/>
        </w:rPr>
        <w:t>5</w:t>
      </w:r>
      <w:r>
        <w:rPr>
          <w:rFonts w:asciiTheme="majorEastAsia" w:eastAsiaTheme="majorEastAsia" w:hAnsiTheme="majorEastAsia" w:cstheme="majorEastAsia" w:hint="eastAsia"/>
          <w:color w:val="auto"/>
          <w:szCs w:val="21"/>
          <w:highlight w:val="none"/>
        </w:rPr>
        <w:t>、技术部分内容</w:t>
      </w:r>
    </w:p>
    <w:p>
      <w:pPr>
        <w:pStyle w:val="NormalIndent"/>
        <w:numPr>
          <w:ilvl w:val="0"/>
          <w:numId w:val="9"/>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实施方案（格式自定）</w:t>
      </w:r>
    </w:p>
    <w:p>
      <w:pPr>
        <w:pStyle w:val="NormalIndent"/>
        <w:numPr>
          <w:ilvl w:val="0"/>
          <w:numId w:val="9"/>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项目重点难点分析、应对措施及相关的合理化建议（格式自定）</w:t>
      </w:r>
    </w:p>
    <w:p>
      <w:pPr>
        <w:pStyle w:val="NormalIndent"/>
        <w:numPr>
          <w:ilvl w:val="0"/>
          <w:numId w:val="9"/>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质量（完成时间、安全、环保）保障措施及方案（格式自定）</w:t>
      </w:r>
    </w:p>
    <w:p>
      <w:pPr>
        <w:pStyle w:val="NormalIndent"/>
        <w:numPr>
          <w:ilvl w:val="0"/>
          <w:numId w:val="9"/>
        </w:numPr>
        <w:spacing w:line="360" w:lineRule="exact"/>
        <w:ind w:left="0"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项目完成（服务期满）后的服务承诺（格式自定）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val="en-US" w:eastAsia="zh-CN"/>
        </w:rPr>
        <w:t>6</w:t>
      </w:r>
      <w:r>
        <w:rPr>
          <w:rFonts w:asciiTheme="majorEastAsia" w:eastAsiaTheme="majorEastAsia" w:hAnsiTheme="majorEastAsia" w:cstheme="majorEastAsia" w:hint="eastAsia"/>
          <w:color w:val="auto"/>
          <w:szCs w:val="21"/>
          <w:highlight w:val="none"/>
        </w:rPr>
        <w:t>、商务部分内容</w:t>
      </w:r>
    </w:p>
    <w:p>
      <w:pPr>
        <w:pStyle w:val="NormalIndent"/>
        <w:numPr>
          <w:ilvl w:val="0"/>
          <w:numId w:val="10"/>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同类项目经验（格式自定）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履约评价（格式自定）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投标人获奖情况（格式自定）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拟安排的项目团队成员（格式自定）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管理体系认证（格式自定）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服务网点（格式自定）</w:t>
      </w:r>
    </w:p>
    <w:p>
      <w:pPr>
        <w:pStyle w:val="NormalIndent"/>
        <w:numPr>
          <w:ilvl w:val="0"/>
          <w:numId w:val="10"/>
        </w:numPr>
        <w:spacing w:line="360" w:lineRule="exact"/>
        <w:ind w:left="0"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其它招标文件要求的内容及投标人认为需要补充的内容（格式自定）</w:t>
      </w:r>
    </w:p>
    <w:p>
      <w:pPr>
        <w:spacing w:line="360" w:lineRule="exact"/>
        <w:ind w:firstLine="424" w:firstLineChars="202"/>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360" w:lineRule="exact"/>
        <w:ind w:firstLine="424" w:firstLineChars="202"/>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1、本项目为网上电子投标项目，投标文件不需法人或授权委托人另行签字，无需加盖</w:t>
      </w:r>
      <w:r>
        <w:rPr>
          <w:rFonts w:asciiTheme="majorEastAsia" w:eastAsiaTheme="majorEastAsia" w:hAnsiTheme="majorEastAsia" w:cstheme="majorEastAsia" w:hint="eastAsia"/>
          <w:color w:val="auto"/>
          <w:szCs w:val="21"/>
          <w:highlight w:val="none"/>
        </w:rPr>
        <w:t>单位公章，招标文件专用条款另有规定的除外。</w:t>
      </w:r>
    </w:p>
    <w:p>
      <w:pPr>
        <w:spacing w:line="360" w:lineRule="exact"/>
        <w:ind w:firstLine="424" w:firstLineChars="202"/>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2、关于“开标一览表”的评标说明：“开标一览表”中除“投标总价”外，其他信息不作评审依据。</w:t>
      </w:r>
    </w:p>
    <w:p>
      <w:pPr>
        <w:spacing w:line="360" w:lineRule="exact"/>
        <w:ind w:firstLine="424" w:firstLineChars="202"/>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bCs/>
          <w:color w:val="auto"/>
          <w:szCs w:val="21"/>
          <w:highlight w:val="none"/>
        </w:rPr>
        <w:t>3、关于投标书编制软件中“开标一览表”的填写说明：“开标一览表”中“完工期”一栏的填写内容不作任何要求，由投标人自行填写。</w:t>
      </w: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投标文件正文（信息公开部分）：</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一、投标函</w:t>
      </w:r>
    </w:p>
    <w:p>
      <w:pPr>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1.根据已收到贵方的项目编号为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3.如果我方中标，我方将按照规定提交上述总价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％（或</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万元）作为履约担保（可提供保函等非现金形式）。</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我方同意所递交的投标文件在“对通用条款的补充内容”中的投标有效期内有效，在此期间内我方的投标有可能中标，我方将受此约束。如果在投标有效期内撤销其投标，将被财政部门根据实际情况记入供应商诚信档案。</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5.除非另外达成协议并生效，贵方的中标通知书和本投标文件将构成约束我们双方的合同。</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6.我方理解贵方将不受必须接受你们所收到的最低标价或其它任何投标文件的约束。</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jc w:val="lef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备注：</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1、如联合体投标，投标人一栏仅需填写牵头人的名称。</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为缓解中小企业融资难题，我市推出政府采购订单融资改革举措。订单融资具体流程及试点金融机构订单融资服务承诺可参阅深圳市政府采购监管网（www.zfcg.sz.gov.cn）信息公开栏目或深圳公共资源交易网（http://www.szggzy.com/）政府采购订单融资栏目。</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3、投标人信息（供联系用）：</w:t>
      </w:r>
    </w:p>
    <w:p>
      <w:pPr>
        <w:spacing w:line="440" w:lineRule="exact"/>
        <w:jc w:val="lef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（1）单位地址：</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r>
        <w:rPr>
          <w:rFonts w:ascii="宋体" w:hAnsi="宋体" w:hint="eastAsia"/>
          <w:color w:val="auto"/>
          <w:szCs w:val="21"/>
          <w:highlight w:val="none"/>
        </w:rPr>
        <w:t>电子邮箱：</w:t>
      </w:r>
      <w:r>
        <w:rPr>
          <w:rFonts w:ascii="宋体" w:hAnsi="宋体" w:hint="eastAsia"/>
          <w:color w:val="auto"/>
          <w:highlight w:val="none"/>
          <w:u w:val="single"/>
        </w:rPr>
        <w:t xml:space="preserve">                </w:t>
      </w:r>
    </w:p>
    <w:p>
      <w:pPr>
        <w:spacing w:line="420" w:lineRule="exac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（2）法定代表人或其委托代理人（姓名及电话）：</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（3）投标人财务负责人/企业负责人（姓名及电话）：</w:t>
      </w:r>
      <w:r>
        <w:rPr>
          <w:rFonts w:asciiTheme="majorEastAsia" w:eastAsiaTheme="majorEastAsia" w:hAnsiTheme="majorEastAsia" w:cstheme="majorEastAsia" w:hint="eastAsia"/>
          <w:color w:val="auto"/>
          <w:szCs w:val="21"/>
          <w:highlight w:val="none"/>
          <w:u w:val="single"/>
        </w:rPr>
        <w:t xml:space="preserve">                     </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二、政府采购投标及履约承诺函</w:t>
      </w:r>
    </w:p>
    <w:p>
      <w:pPr>
        <w:spacing w:line="36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360" w:lineRule="exact"/>
        <w:ind w:right="-815"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我单位承诺：</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我单位参与本项目所投标（响应）的货物、工程或服务，不存在侵犯知识产权的情况。</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我单位参与本项目投标前三年内，在经营活动中没有重大违法记录。</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我单位参与本项目政府采购活动时不存在被有关部门禁止参与政府采购活动且在有效期内的情况。</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我单位具备《中华人民共和国政府采购法》第二十二条</w:t>
      </w:r>
      <w:r>
        <w:rPr>
          <w:rFonts w:asciiTheme="minorEastAsia" w:eastAsiaTheme="minorEastAsia" w:hAnsiTheme="minorEastAsia" w:hint="eastAsia"/>
          <w:color w:val="auto"/>
          <w:szCs w:val="21"/>
          <w:highlight w:val="none"/>
        </w:rPr>
        <w:t>第一款</w:t>
      </w:r>
      <w:r>
        <w:rPr>
          <w:rFonts w:ascii="宋体" w:eastAsia="宋体" w:hAnsi="宋体" w:cs="Times New Roman" w:hint="eastAsia"/>
          <w:b w:val="0"/>
          <w:bCs/>
          <w:color w:val="auto"/>
          <w:szCs w:val="21"/>
          <w:highlight w:val="none"/>
        </w:rPr>
        <w:t>的条件。</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我单位未被列入失信被执行人、重大税收违法案件当事人名单（重大税收违法失信主体）、政府采购严重违法失信行为记录名单。</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我单位非为本项目提供整体设计、规范编制或者项目管理、监理、检测等服务的供应商。</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我单位不存在“单位负责人为同一人或者存在直接控股、管理关系的不同供应商，参加同一合同项下的政府采购活动”的情形。</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我单位保证，若所投货物涉及《财政部生态环境部关于印发节能产品政府采购品目清单的通知》（财库〔2019〕19号）列明的政府采购强制产品，则所投该产品符合节能产品的认证要求。</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我单位已知悉并同意中标（成交）结果信息公示（公开）的内容。</w:t>
      </w:r>
    </w:p>
    <w:p>
      <w:pPr>
        <w:numPr>
          <w:ilvl w:val="0"/>
          <w:numId w:val="11"/>
        </w:numPr>
        <w:spacing w:line="360" w:lineRule="exact"/>
        <w:ind w:firstLine="420" w:firstLineChars="200"/>
        <w:rPr>
          <w:rFonts w:ascii="宋体" w:eastAsia="宋体" w:hAnsi="宋体" w:cs="Times New Roman" w:hint="eastAsia"/>
          <w:b w:val="0"/>
          <w:bCs/>
          <w:color w:val="auto"/>
          <w:szCs w:val="21"/>
          <w:highlight w:val="none"/>
        </w:rPr>
      </w:pPr>
      <w:r>
        <w:rPr>
          <w:rFonts w:ascii="宋体" w:eastAsia="宋体" w:hAnsi="宋体" w:cs="Times New Roman" w:hint="eastAsia"/>
          <w:b w:val="0"/>
          <w:bCs/>
          <w:color w:val="auto"/>
          <w:szCs w:val="21"/>
          <w:highlight w:val="none"/>
        </w:rPr>
        <w:t>我单位承诺中标后项目不转包，未经采购人同意不进行分包。</w:t>
      </w:r>
    </w:p>
    <w:p>
      <w:pPr>
        <w:numPr>
          <w:ilvl w:val="0"/>
          <w:numId w:val="11"/>
        </w:numPr>
        <w:spacing w:line="360" w:lineRule="exact"/>
        <w:ind w:firstLine="420" w:firstLineChars="200"/>
        <w:rPr>
          <w:rFonts w:ascii="宋体" w:eastAsia="宋体" w:hAnsi="宋体" w:cs="Times New Roman" w:hint="default"/>
          <w:b w:val="0"/>
          <w:bCs/>
          <w:color w:val="auto"/>
          <w:szCs w:val="21"/>
          <w:highlight w:val="none"/>
          <w:lang w:val="en-US"/>
        </w:rPr>
      </w:pPr>
      <w:r>
        <w:rPr>
          <w:rFonts w:ascii="宋体" w:eastAsia="宋体" w:hAnsi="宋体" w:cs="Times New Roman" w:hint="eastAsia"/>
          <w:b w:val="0"/>
          <w:bCs/>
          <w:color w:val="auto"/>
          <w:szCs w:val="21"/>
          <w:highlight w:val="none"/>
          <w:lang w:val="en-US" w:eastAsia="zh-CN"/>
        </w:rPr>
        <w:t>我单位清楚，如存在违反投标承诺行为情节严重的，将根据《深圳市财政局关于印发&lt;深圳市财政局政府采购供应商信用信息管理办法&gt;的通知》，依法被列入失信信息。</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以上承诺，如有违反，愿依照国家相关法律处理，并承担由此给采购人带来的损失。</w:t>
      </w:r>
    </w:p>
    <w:p>
      <w:pPr>
        <w:spacing w:line="360" w:lineRule="exact"/>
        <w:ind w:firstLine="420" w:firstLineChars="200"/>
        <w:rPr>
          <w:rFonts w:asciiTheme="majorEastAsia" w:eastAsiaTheme="majorEastAsia" w:hAnsiTheme="majorEastAsia" w:cstheme="majorEastAsia"/>
          <w:color w:val="auto"/>
          <w:szCs w:val="21"/>
          <w:highlight w:val="none"/>
        </w:rPr>
      </w:pPr>
    </w:p>
    <w:p>
      <w:pPr>
        <w:spacing w:line="360" w:lineRule="exact"/>
        <w:ind w:firstLine="4725" w:firstLineChars="2250"/>
        <w:rPr>
          <w:rFonts w:asciiTheme="majorEastAsia" w:eastAsiaTheme="majorEastAsia" w:hAnsiTheme="majorEastAsia" w:cstheme="majorEastAsia"/>
          <w:color w:val="auto"/>
          <w:szCs w:val="21"/>
          <w:highlight w:val="none"/>
        </w:rPr>
      </w:pPr>
    </w:p>
    <w:p>
      <w:pPr>
        <w:spacing w:line="36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36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三、资格证明材料</w:t>
      </w:r>
    </w:p>
    <w:p>
      <w:pPr>
        <w:keepNext w:val="0"/>
        <w:keepLines w:val="0"/>
        <w:pageBreakBefore w:val="0"/>
        <w:widowControl w:val="0"/>
        <w:kinsoku/>
        <w:wordWrap/>
        <w:overflowPunct/>
        <w:topLinePunct w:val="0"/>
        <w:bidi w:val="0"/>
        <w:spacing w:line="240" w:lineRule="auto"/>
        <w:ind w:firstLine="420" w:firstLineChars="200"/>
        <w:textAlignment w:val="auto"/>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（一）资质证明文件</w:t>
      </w:r>
    </w:p>
    <w:p>
      <w:pPr>
        <w:keepNext w:val="0"/>
        <w:keepLines w:val="0"/>
        <w:pageBreakBefore w:val="0"/>
        <w:widowControl w:val="0"/>
        <w:kinsoku/>
        <w:wordWrap/>
        <w:overflowPunct/>
        <w:topLinePunct w:val="0"/>
        <w:bidi w:val="0"/>
        <w:spacing w:line="240" w:lineRule="auto"/>
        <w:ind w:firstLine="420" w:firstLineChars="200"/>
        <w:textAlignment w:val="auto"/>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（特别提示：投标人须按本招标文件第一章招标公告 “投标人的资格要求”提供相关的资质证明，未提供或提供不完整、不符合要求的，投标文件将按无效投标处理。）</w:t>
      </w:r>
    </w:p>
    <w:p>
      <w:pPr>
        <w:keepNext w:val="0"/>
        <w:keepLines w:val="0"/>
        <w:pageBreakBefore w:val="0"/>
        <w:widowControl w:val="0"/>
        <w:kinsoku/>
        <w:wordWrap/>
        <w:overflowPunct/>
        <w:topLinePunct w:val="0"/>
        <w:bidi w:val="0"/>
        <w:spacing w:line="240" w:lineRule="auto"/>
        <w:ind w:firstLine="420" w:firstLineChars="200"/>
        <w:textAlignment w:val="auto"/>
        <w:rPr>
          <w:rFonts w:asciiTheme="majorEastAsia" w:eastAsiaTheme="majorEastAsia" w:hAnsiTheme="majorEastAsia" w:cstheme="majorEastAsia"/>
          <w:b/>
          <w:bCs/>
          <w:color w:val="auto"/>
          <w:highlight w:val="none"/>
        </w:rPr>
      </w:pPr>
    </w:p>
    <w:p>
      <w:pPr>
        <w:keepNext w:val="0"/>
        <w:keepLines w:val="0"/>
        <w:pageBreakBefore w:val="0"/>
        <w:widowControl w:val="0"/>
        <w:kinsoku/>
        <w:wordWrap/>
        <w:overflowPunct/>
        <w:topLinePunct w:val="0"/>
        <w:bidi w:val="0"/>
        <w:spacing w:line="240" w:lineRule="auto"/>
        <w:ind w:firstLine="420" w:firstLineChars="200"/>
        <w:textAlignment w:val="auto"/>
        <w:rPr>
          <w:rFonts w:asciiTheme="minorEastAsia" w:eastAsiaTheme="minorEastAsia" w:hAnsiTheme="minorEastAsia"/>
          <w:b/>
          <w:color w:val="auto"/>
          <w:szCs w:val="21"/>
          <w:highlight w:val="none"/>
        </w:rPr>
      </w:pPr>
      <w:r>
        <w:rPr>
          <w:rFonts w:asciiTheme="majorEastAsia" w:eastAsiaTheme="majorEastAsia" w:hAnsiTheme="majorEastAsia" w:cstheme="majorEastAsia" w:hint="eastAsia"/>
          <w:b/>
          <w:bCs/>
          <w:color w:val="auto"/>
          <w:highlight w:val="none"/>
        </w:rPr>
        <w:t>（二）</w:t>
      </w:r>
      <w:r>
        <w:rPr>
          <w:rFonts w:asciiTheme="minorEastAsia" w:eastAsiaTheme="minorEastAsia" w:hAnsiTheme="minorEastAsia" w:hint="eastAsia"/>
          <w:b/>
          <w:color w:val="auto"/>
          <w:szCs w:val="21"/>
          <w:highlight w:val="none"/>
        </w:rPr>
        <w:t>投标人认为需提供的其他证明文件</w:t>
      </w:r>
    </w:p>
    <w:p>
      <w:pPr>
        <w:keepNext w:val="0"/>
        <w:keepLines w:val="0"/>
        <w:pageBreakBefore w:val="0"/>
        <w:widowControl w:val="0"/>
        <w:kinsoku/>
        <w:wordWrap/>
        <w:overflowPunct/>
        <w:topLinePunct w:val="0"/>
        <w:bidi w:val="0"/>
        <w:spacing w:line="240" w:lineRule="auto"/>
        <w:ind w:left="628" w:hanging="208" w:leftChars="200" w:hangingChars="99"/>
        <w:textAlignment w:val="auto"/>
        <w:rPr>
          <w:rFonts w:asciiTheme="majorEastAsia" w:eastAsiaTheme="majorEastAsia" w:hAnsiTheme="majorEastAsia" w:cstheme="majorEastAsia"/>
          <w:b/>
          <w:bCs/>
          <w:color w:val="auto"/>
          <w:highlight w:val="none"/>
        </w:rPr>
      </w:pPr>
    </w:p>
    <w:p>
      <w:pPr>
        <w:keepNext w:val="0"/>
        <w:keepLines w:val="0"/>
        <w:pageBreakBefore w:val="0"/>
        <w:widowControl w:val="0"/>
        <w:kinsoku/>
        <w:wordWrap/>
        <w:overflowPunct/>
        <w:topLinePunct w:val="0"/>
        <w:bidi w:val="0"/>
        <w:spacing w:line="240" w:lineRule="auto"/>
        <w:ind w:firstLine="420" w:firstLineChars="200"/>
        <w:textAlignment w:val="auto"/>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w:t>
      </w:r>
      <w:r>
        <w:rPr>
          <w:rFonts w:asciiTheme="minorEastAsia" w:eastAsiaTheme="minorEastAsia" w:hAnsiTheme="minorEastAsia" w:hint="eastAsia"/>
          <w:b/>
          <w:color w:val="auto"/>
          <w:szCs w:val="21"/>
          <w:highlight w:val="none"/>
          <w:lang w:val="en-US" w:eastAsia="zh-CN"/>
        </w:rPr>
        <w:t>三</w:t>
      </w:r>
      <w:r>
        <w:rPr>
          <w:rFonts w:asciiTheme="minorEastAsia" w:eastAsiaTheme="minorEastAsia" w:hAnsiTheme="minorEastAsia" w:hint="eastAsia"/>
          <w:b/>
          <w:color w:val="auto"/>
          <w:szCs w:val="21"/>
          <w:highlight w:val="none"/>
        </w:rPr>
        <w:t>）投标人股东关系构成表</w:t>
      </w:r>
    </w:p>
    <w:tbl>
      <w:tblPr>
        <w:tblStyle w:val="TableNormal"/>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139"/>
        <w:gridCol w:w="6390"/>
      </w:tblGrid>
      <w:tr>
        <w:tblPrEx>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80"/>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Cs w:val="21"/>
                <w:highlight w:val="none"/>
              </w:rPr>
            </w:pPr>
            <w:r>
              <w:rPr>
                <w:rFonts w:ascii="宋体" w:hAnsi="宋体" w:hint="eastAsia"/>
                <w:color w:val="auto"/>
                <w:szCs w:val="21"/>
                <w:highlight w:val="none"/>
              </w:rPr>
              <w:t>投标人名称</w:t>
            </w:r>
          </w:p>
        </w:tc>
        <w:tc>
          <w:tcPr>
            <w:tcW w:w="6390"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680"/>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Cs w:val="21"/>
                <w:highlight w:val="none"/>
              </w:rPr>
            </w:pPr>
            <w:r>
              <w:rPr>
                <w:rFonts w:ascii="宋体" w:hAnsi="宋体" w:hint="eastAsia"/>
                <w:color w:val="auto"/>
                <w:szCs w:val="21"/>
                <w:highlight w:val="none"/>
              </w:rPr>
              <w:t>本单位负责人（法定代表人）姓名</w:t>
            </w:r>
          </w:p>
        </w:tc>
        <w:tc>
          <w:tcPr>
            <w:tcW w:w="6390"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1417"/>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Cs w:val="21"/>
                <w:highlight w:val="none"/>
              </w:rPr>
            </w:pPr>
            <w:r>
              <w:rPr>
                <w:rFonts w:ascii="宋体" w:hAnsi="宋体" w:hint="eastAsia"/>
                <w:color w:val="auto"/>
                <w:szCs w:val="21"/>
                <w:highlight w:val="none"/>
              </w:rPr>
              <w:t>是否存在本单位的控股股东</w:t>
            </w:r>
          </w:p>
        </w:tc>
        <w:tc>
          <w:tcPr>
            <w:tcW w:w="6390"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□是，其控股股东为：</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Segoe UI Symbol"/>
                <w:color w:val="auto"/>
                <w:kern w:val="0"/>
                <w:szCs w:val="21"/>
                <w:highlight w:val="none"/>
              </w:rPr>
            </w:pPr>
            <w:r>
              <w:rPr>
                <w:rFonts w:ascii="宋体" w:hAnsi="宋体" w:cs="Segoe UI Symbol" w:hint="eastAsia"/>
                <w:color w:val="auto"/>
                <w:kern w:val="0"/>
                <w:szCs w:val="21"/>
                <w:highlight w:val="none"/>
              </w:rPr>
              <w:t>其他主要股东及其股份占比：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
                <w:bCs/>
                <w:color w:val="auto"/>
                <w:szCs w:val="21"/>
                <w:highlight w:val="none"/>
              </w:rPr>
            </w:pPr>
            <w:r>
              <w:rPr>
                <w:rFonts w:ascii="宋体" w:hAnsi="宋体" w:cs="Segoe UI Symbol" w:hint="eastAsia"/>
                <w:color w:val="auto"/>
                <w:kern w:val="0"/>
                <w:szCs w:val="21"/>
                <w:highlight w:val="none"/>
              </w:rPr>
              <w:t>□否</w:t>
            </w:r>
          </w:p>
        </w:tc>
      </w:tr>
      <w:tr>
        <w:tblPrEx>
          <w:tblW w:w="8529" w:type="dxa"/>
          <w:jc w:val="center"/>
          <w:tblLayout w:type="fixed"/>
          <w:tblCellMar>
            <w:top w:w="0" w:type="dxa"/>
            <w:left w:w="108" w:type="dxa"/>
            <w:bottom w:w="0" w:type="dxa"/>
            <w:right w:w="108" w:type="dxa"/>
          </w:tblCellMar>
        </w:tblPrEx>
        <w:trPr>
          <w:trHeight w:val="1417"/>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Cs w:val="21"/>
                <w:highlight w:val="none"/>
              </w:rPr>
            </w:pPr>
            <w:r>
              <w:rPr>
                <w:rFonts w:ascii="宋体" w:hAnsi="宋体" w:hint="eastAsia"/>
                <w:color w:val="auto"/>
                <w:szCs w:val="21"/>
                <w:highlight w:val="none"/>
              </w:rPr>
              <w:t>是否存在“与本单位存在管理关系的单位”</w:t>
            </w:r>
          </w:p>
        </w:tc>
        <w:tc>
          <w:tcPr>
            <w:tcW w:w="6390"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□是，该单位为：</w:t>
            </w:r>
            <w:r>
              <w:rPr>
                <w:rFonts w:ascii="宋体" w:hAnsi="宋体" w:cs="Segoe UI Symbol" w:hint="eastAsia"/>
                <w:color w:val="auto"/>
                <w:kern w:val="0"/>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
                <w:bCs/>
                <w:color w:val="auto"/>
                <w:szCs w:val="21"/>
                <w:highlight w:val="none"/>
              </w:rPr>
            </w:pPr>
            <w:r>
              <w:rPr>
                <w:rFonts w:ascii="宋体" w:hAnsi="宋体" w:cs="Segoe UI Symbol" w:hint="eastAsia"/>
                <w:color w:val="auto"/>
                <w:kern w:val="0"/>
                <w:szCs w:val="21"/>
                <w:highlight w:val="none"/>
              </w:rPr>
              <w:t>□否</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
          <w:bCs/>
          <w:color w:val="auto"/>
          <w:szCs w:val="21"/>
          <w:highlight w:val="none"/>
        </w:rPr>
      </w:pPr>
      <w:r>
        <w:rPr>
          <w:rFonts w:ascii="宋体" w:hAnsi="宋体" w:hint="eastAsia"/>
          <w:b/>
          <w:bCs/>
          <w:color w:val="auto"/>
          <w:szCs w:val="21"/>
          <w:highlight w:val="none"/>
        </w:rPr>
        <w:t>注：</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color w:val="auto"/>
          <w:szCs w:val="21"/>
          <w:highlight w:val="none"/>
        </w:rPr>
      </w:pPr>
      <w:r>
        <w:rPr>
          <w:rFonts w:ascii="宋体" w:hAnsi="宋体" w:hint="eastAsia"/>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color w:val="auto"/>
          <w:szCs w:val="21"/>
          <w:highlight w:val="none"/>
        </w:rPr>
      </w:pPr>
      <w:r>
        <w:rPr>
          <w:rFonts w:ascii="宋体" w:hAnsi="宋体" w:hint="eastAsia"/>
          <w:bCs/>
          <w:color w:val="auto"/>
          <w:szCs w:val="21"/>
          <w:highlight w:val="none"/>
        </w:rPr>
        <w:t>2、投标人需如实填写上述信息，如查实上述信息与实际不符，视为提供虚假证明材料骗取中标，投标人应承担相应法律后果。</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四、中小企业、残疾人福利性单位及监狱企业声明函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填写指引：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4、声明函具体填写要求：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第一处，在“单位名称”下划线处如实填写采购人名称；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第三处，在“标的名称”下划线处填写所采购服务（标的）的具体名称（以招标文件第一册第</w:t>
      </w:r>
      <w:r>
        <w:rPr>
          <w:rFonts w:asciiTheme="minorEastAsia" w:eastAsiaTheme="minorEastAsia" w:hAnsiTheme="minorEastAsia" w:hint="eastAsia"/>
          <w:color w:val="auto"/>
          <w:szCs w:val="21"/>
          <w:highlight w:val="none"/>
          <w:lang w:eastAsia="zh-CN"/>
        </w:rPr>
        <w:t>二</w:t>
      </w:r>
      <w:r>
        <w:rPr>
          <w:rFonts w:asciiTheme="minorEastAsia" w:eastAsiaTheme="minorEastAsia" w:hAnsiTheme="minorEastAsia" w:hint="eastAsia"/>
          <w:color w:val="auto"/>
          <w:szCs w:val="21"/>
          <w:highlight w:val="none"/>
        </w:rPr>
        <w:t>章用户需求书“</w:t>
      </w:r>
      <w:r>
        <w:rPr>
          <w:rFonts w:asciiTheme="minorEastAsia" w:eastAsiaTheme="minorEastAsia" w:hAnsiTheme="minorEastAsia" w:hint="eastAsia"/>
          <w:color w:val="auto"/>
          <w:szCs w:val="21"/>
          <w:highlight w:val="none"/>
          <w:lang w:eastAsia="zh-CN"/>
        </w:rPr>
        <w:t>服务清单</w:t>
      </w:r>
      <w:r>
        <w:rPr>
          <w:rFonts w:asciiTheme="minorEastAsia" w:eastAsiaTheme="minorEastAsia" w:hAnsiTheme="minorEastAsia" w:hint="eastAsia"/>
          <w:color w:val="auto"/>
          <w:szCs w:val="21"/>
          <w:highlight w:val="none"/>
        </w:rPr>
        <w:t>”的“服务需求名称”一栏为准）；如果涉及多个服务需求（标的）由同一企业承接，“标的名称”下划线处可以如实填写多个服务需求（标的）；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（2）声明是残疾人福利性单位须填写《残疾人福利性单位声明函》的相关内容（填写位置的字体已加粗），具体参照以上《中小企业声明函》填写要求执行。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（3）声明是监狱企业须填写《监狱企业声明函》的相关内容（填写位置的字体已加粗），具体参照以上《中小企业声明函》填写要求执行。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5、除专门面向中小企业采购的项目外，声明函的有效性最终由评审委员会判定；如评审委员会判定声明函无效，相关供应商不享受价格扣除（但不作投标无效处理）。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val="en-US" w:eastAsia="zh-CN"/>
        </w:rPr>
        <w:t>6、</w:t>
      </w:r>
      <w:r>
        <w:rPr>
          <w:rFonts w:asciiTheme="minorEastAsia" w:eastAsiaTheme="minorEastAsia" w:hAnsiTheme="minorEastAsia" w:hint="eastAsia"/>
          <w:color w:val="auto"/>
          <w:szCs w:val="21"/>
          <w:highlight w:val="none"/>
        </w:rPr>
        <w:t>本项目采购标的对应的中小企业划分标准所属行业为</w:t>
      </w:r>
      <w:r>
        <w:rPr>
          <w:rFonts w:asciiTheme="minorEastAsia" w:eastAsiaTheme="minorEastAsia" w:hAnsiTheme="minorEastAsia" w:hint="eastAsia"/>
          <w:color w:val="auto"/>
          <w:szCs w:val="21"/>
          <w:highlight w:val="none"/>
          <w:u w:val="single"/>
        </w:rPr>
        <w:t xml:space="preserve"> </w:t>
      </w:r>
      <w:r>
        <w:rPr>
          <w:rFonts w:asciiTheme="minorEastAsia" w:eastAsiaTheme="minorEastAsia" w:hAnsiTheme="minorEastAsia" w:hint="eastAsia"/>
          <w:color w:val="auto"/>
          <w:szCs w:val="21"/>
          <w:highlight w:val="none"/>
          <w:u w:val="single"/>
          <w:lang w:val="en-US" w:eastAsia="zh-CN"/>
        </w:rPr>
        <w:t xml:space="preserve"> 其他未列明行业 </w:t>
      </w:r>
      <w:r>
        <w:rPr>
          <w:rFonts w:asciiTheme="minorEastAsia" w:eastAsiaTheme="minorEastAsia" w:hAnsiTheme="minorEastAsia" w:hint="eastAsia"/>
          <w:color w:val="auto"/>
          <w:szCs w:val="21"/>
          <w:highlight w:val="none"/>
          <w:u w:val="single"/>
        </w:rPr>
        <w:t xml:space="preserve"> </w:t>
      </w:r>
      <w:r>
        <w:rPr>
          <w:rFonts w:asciiTheme="minorEastAsia" w:eastAsiaTheme="minorEastAsia" w:hAnsiTheme="minorEastAsia"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eastAsiaTheme="minorEastAsia" w:hAnsi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heme="minorEastAsia" w:eastAsiaTheme="minorEastAsia" w:hAnsiTheme="minorEastAsia"/>
          <w:b/>
          <w:bCs/>
          <w:color w:val="auto"/>
          <w:sz w:val="24"/>
          <w:szCs w:val="24"/>
          <w:highlight w:val="none"/>
        </w:rPr>
      </w:pPr>
      <w:r>
        <w:rPr>
          <w:rFonts w:asciiTheme="minorEastAsia" w:eastAsiaTheme="minorEastAsia" w:hAnsiTheme="minorEastAsia" w:hint="eastAsia"/>
          <w:b/>
          <w:bCs/>
          <w:color w:val="auto"/>
          <w:sz w:val="24"/>
          <w:szCs w:val="24"/>
          <w:highlight w:val="none"/>
        </w:rPr>
        <w:t>（一）中小企业声明函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color w:val="auto"/>
          <w:szCs w:val="21"/>
          <w:highlight w:val="none"/>
        </w:rPr>
      </w:pPr>
      <w:r>
        <w:rPr>
          <w:color w:val="auto"/>
          <w:szCs w:val="21"/>
          <w:highlight w:val="none"/>
        </w:rPr>
        <w:t>本投标人郑重声明，根据《政府采购促进中小企业发展管理办法》（财库﹝2020﹞46 号）的规定，本投标人参加</w:t>
      </w:r>
      <w:r>
        <w:rPr>
          <w:b/>
          <w:bCs/>
          <w:color w:val="auto"/>
          <w:szCs w:val="21"/>
          <w:highlight w:val="none"/>
          <w:u w:val="single"/>
        </w:rPr>
        <w:t>（采购人名称）</w:t>
      </w:r>
      <w:r>
        <w:rPr>
          <w:color w:val="auto"/>
          <w:szCs w:val="21"/>
          <w:highlight w:val="none"/>
        </w:rPr>
        <w:t>的</w:t>
      </w:r>
      <w:r>
        <w:rPr>
          <w:b/>
          <w:bCs/>
          <w:color w:val="auto"/>
          <w:szCs w:val="21"/>
          <w:highlight w:val="none"/>
          <w:u w:val="single"/>
        </w:rPr>
        <w:t>（项目名称）</w:t>
      </w:r>
      <w:r>
        <w:rPr>
          <w:color w:val="auto"/>
          <w:szCs w:val="21"/>
          <w:highlight w:val="none"/>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color w:val="auto"/>
          <w:szCs w:val="21"/>
          <w:highlight w:val="none"/>
        </w:rPr>
      </w:pPr>
      <w:r>
        <w:rPr>
          <w:color w:val="auto"/>
          <w:szCs w:val="21"/>
          <w:highlight w:val="none"/>
        </w:rPr>
        <w:t>1.</w:t>
      </w:r>
      <w:r>
        <w:rPr>
          <w:b/>
          <w:bCs/>
          <w:color w:val="auto"/>
          <w:szCs w:val="21"/>
          <w:highlight w:val="none"/>
          <w:u w:val="single"/>
        </w:rPr>
        <w:t xml:space="preserve"> （标的名称）</w:t>
      </w:r>
      <w:r>
        <w:rPr>
          <w:color w:val="auto"/>
          <w:szCs w:val="21"/>
          <w:highlight w:val="none"/>
        </w:rPr>
        <w:t xml:space="preserve"> ，属于</w:t>
      </w:r>
      <w:r>
        <w:rPr>
          <w:b/>
          <w:bCs/>
          <w:color w:val="auto"/>
          <w:szCs w:val="21"/>
          <w:highlight w:val="none"/>
          <w:u w:val="single"/>
        </w:rPr>
        <w:t xml:space="preserve">（招标文件中明确的所属行业） </w:t>
      </w:r>
      <w:r>
        <w:rPr>
          <w:color w:val="auto"/>
          <w:szCs w:val="21"/>
          <w:highlight w:val="none"/>
        </w:rPr>
        <w:t>行业；承接企业为</w:t>
      </w:r>
      <w:r>
        <w:rPr>
          <w:b/>
          <w:bCs/>
          <w:color w:val="auto"/>
          <w:szCs w:val="21"/>
          <w:highlight w:val="none"/>
          <w:u w:val="single"/>
        </w:rPr>
        <w:t>（企业名称）</w:t>
      </w:r>
      <w:r>
        <w:rPr>
          <w:color w:val="auto"/>
          <w:szCs w:val="21"/>
          <w:highlight w:val="none"/>
        </w:rPr>
        <w:t>，从业人员</w:t>
      </w:r>
      <w:r>
        <w:rPr>
          <w:b/>
          <w:bCs/>
          <w:color w:val="auto"/>
          <w:szCs w:val="21"/>
          <w:highlight w:val="none"/>
          <w:u w:val="single"/>
        </w:rPr>
        <w:t xml:space="preserve">  </w:t>
      </w:r>
      <w:r>
        <w:rPr>
          <w:color w:val="auto"/>
          <w:szCs w:val="21"/>
          <w:highlight w:val="none"/>
        </w:rPr>
        <w:t>人，营业收入为</w:t>
      </w:r>
      <w:r>
        <w:rPr>
          <w:b/>
          <w:bCs/>
          <w:color w:val="auto"/>
          <w:szCs w:val="21"/>
          <w:highlight w:val="none"/>
          <w:u w:val="single"/>
        </w:rPr>
        <w:t xml:space="preserve">  </w:t>
      </w:r>
      <w:r>
        <w:rPr>
          <w:color w:val="auto"/>
          <w:szCs w:val="21"/>
          <w:highlight w:val="none"/>
        </w:rPr>
        <w:t>万元，资产总额为</w:t>
      </w:r>
      <w:r>
        <w:rPr>
          <w:b/>
          <w:bCs/>
          <w:color w:val="auto"/>
          <w:szCs w:val="21"/>
          <w:highlight w:val="none"/>
          <w:u w:val="single"/>
        </w:rPr>
        <w:t xml:space="preserve">  </w:t>
      </w:r>
      <w:r>
        <w:rPr>
          <w:color w:val="auto"/>
          <w:szCs w:val="21"/>
          <w:highlight w:val="none"/>
        </w:rPr>
        <w:t>万元 ，属于</w:t>
      </w:r>
      <w:r>
        <w:rPr>
          <w:b/>
          <w:bCs/>
          <w:color w:val="auto"/>
          <w:szCs w:val="21"/>
          <w:highlight w:val="none"/>
          <w:u w:val="single"/>
        </w:rPr>
        <w:t>（中型企业、小型企业、微型企业）</w:t>
      </w: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color w:val="auto"/>
          <w:szCs w:val="21"/>
          <w:highlight w:val="none"/>
          <w:u w:val="single"/>
        </w:rPr>
      </w:pPr>
      <w:r>
        <w:rPr>
          <w:color w:val="auto"/>
          <w:szCs w:val="21"/>
          <w:highlight w:val="none"/>
        </w:rPr>
        <w:t>2.</w:t>
      </w:r>
      <w:r>
        <w:rPr>
          <w:b/>
          <w:bCs/>
          <w:color w:val="auto"/>
          <w:szCs w:val="21"/>
          <w:highlight w:val="none"/>
          <w:u w:val="single"/>
        </w:rPr>
        <w:t xml:space="preserve"> （标的名称）</w:t>
      </w:r>
      <w:r>
        <w:rPr>
          <w:color w:val="auto"/>
          <w:szCs w:val="21"/>
          <w:highlight w:val="none"/>
        </w:rPr>
        <w:t xml:space="preserve"> ，属于</w:t>
      </w:r>
      <w:r>
        <w:rPr>
          <w:b/>
          <w:bCs/>
          <w:color w:val="auto"/>
          <w:szCs w:val="21"/>
          <w:highlight w:val="none"/>
          <w:u w:val="single"/>
        </w:rPr>
        <w:t xml:space="preserve">（招标文件中明确的所属行业） </w:t>
      </w:r>
      <w:r>
        <w:rPr>
          <w:color w:val="auto"/>
          <w:szCs w:val="21"/>
          <w:highlight w:val="none"/>
        </w:rPr>
        <w:t>行业；承接企业为</w:t>
      </w:r>
      <w:r>
        <w:rPr>
          <w:b/>
          <w:bCs/>
          <w:color w:val="auto"/>
          <w:szCs w:val="21"/>
          <w:highlight w:val="none"/>
          <w:u w:val="single"/>
        </w:rPr>
        <w:t>（企业名称）</w:t>
      </w:r>
      <w:r>
        <w:rPr>
          <w:color w:val="auto"/>
          <w:szCs w:val="21"/>
          <w:highlight w:val="none"/>
        </w:rPr>
        <w:t>，从业人员</w:t>
      </w:r>
      <w:r>
        <w:rPr>
          <w:b/>
          <w:bCs/>
          <w:color w:val="auto"/>
          <w:szCs w:val="21"/>
          <w:highlight w:val="none"/>
          <w:u w:val="single"/>
        </w:rPr>
        <w:t xml:space="preserve">  </w:t>
      </w:r>
      <w:r>
        <w:rPr>
          <w:color w:val="auto"/>
          <w:szCs w:val="21"/>
          <w:highlight w:val="none"/>
        </w:rPr>
        <w:t>人，营业收入为</w:t>
      </w:r>
      <w:r>
        <w:rPr>
          <w:b/>
          <w:bCs/>
          <w:color w:val="auto"/>
          <w:szCs w:val="21"/>
          <w:highlight w:val="none"/>
          <w:u w:val="single"/>
        </w:rPr>
        <w:t xml:space="preserve">  </w:t>
      </w:r>
      <w:r>
        <w:rPr>
          <w:color w:val="auto"/>
          <w:szCs w:val="21"/>
          <w:highlight w:val="none"/>
        </w:rPr>
        <w:t>万元，资产总额为</w:t>
      </w:r>
      <w:r>
        <w:rPr>
          <w:b/>
          <w:bCs/>
          <w:color w:val="auto"/>
          <w:szCs w:val="21"/>
          <w:highlight w:val="none"/>
          <w:u w:val="single"/>
        </w:rPr>
        <w:t xml:space="preserve">  </w:t>
      </w:r>
      <w:r>
        <w:rPr>
          <w:color w:val="auto"/>
          <w:szCs w:val="21"/>
          <w:highlight w:val="none"/>
        </w:rPr>
        <w:t>万元 ，属于</w:t>
      </w:r>
      <w:r>
        <w:rPr>
          <w:b/>
          <w:bCs/>
          <w:color w:val="auto"/>
          <w:szCs w:val="21"/>
          <w:highlight w:val="none"/>
          <w:u w:val="single"/>
        </w:rPr>
        <w:t>（中型企业、小型企业、微型企业）</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color w:val="auto"/>
          <w:szCs w:val="21"/>
          <w:highlight w:val="none"/>
        </w:rPr>
      </w:pP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eastAsiaTheme="majorEastAsia" w:cs="宋体"/>
          <w:color w:val="auto"/>
          <w:szCs w:val="21"/>
          <w:highlight w:val="none"/>
        </w:rPr>
      </w:pPr>
      <w:r>
        <w:rPr>
          <w:color w:val="auto"/>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r>
        <w:rPr>
          <w:rFonts w:asciiTheme="majorEastAsia" w:eastAsiaTheme="majorEastAsia" w:hAnsiTheme="majorEastAsia" w:cstheme="majorEastAsia" w:hint="eastAsia"/>
          <w:color w:val="auto"/>
          <w:szCs w:val="21"/>
          <w:highlight w:val="none"/>
        </w:rPr>
        <w:t>。</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textAlignment w:val="auto"/>
        <w:rPr>
          <w:rFonts w:ascii="宋体" w:hAnsi="宋体"/>
          <w:b/>
          <w:color w:val="auto"/>
          <w:sz w:val="21"/>
          <w:szCs w:val="21"/>
          <w:highlight w:val="none"/>
        </w:rPr>
      </w:pPr>
      <w:r>
        <w:rPr>
          <w:rFonts w:ascii="宋体" w:hAnsi="宋体" w:hint="eastAsia"/>
          <w:b/>
          <w:color w:val="auto"/>
          <w:sz w:val="21"/>
          <w:szCs w:val="21"/>
          <w:highlight w:val="none"/>
        </w:rPr>
        <w:t>备注：</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textAlignment w:val="auto"/>
        <w:rPr>
          <w:rFonts w:ascii="宋体" w:hAnsi="宋体"/>
          <w:color w:val="auto"/>
          <w:sz w:val="21"/>
          <w:szCs w:val="21"/>
          <w:highlight w:val="none"/>
        </w:rPr>
      </w:pPr>
      <w:r>
        <w:rPr>
          <w:rFonts w:ascii="宋体" w:hAnsi="宋体" w:hint="eastAsia"/>
          <w:color w:val="auto"/>
          <w:sz w:val="21"/>
          <w:szCs w:val="21"/>
          <w:highlight w:val="none"/>
        </w:rPr>
        <w:t>1、从业人员、营业收入、资产总额填报上一年度数据，无上一年度数据的新成立企业可不填报。</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textAlignment w:val="auto"/>
        <w:rPr>
          <w:color w:val="auto"/>
          <w:sz w:val="21"/>
          <w:szCs w:val="21"/>
          <w:highlight w:val="none"/>
        </w:rPr>
      </w:pPr>
      <w:r>
        <w:rPr>
          <w:rFonts w:ascii="宋体" w:hAnsi="宋体" w:hint="eastAsia"/>
          <w:color w:val="auto"/>
          <w:sz w:val="21"/>
          <w:szCs w:val="21"/>
          <w:highlight w:val="none"/>
        </w:rPr>
        <w:t>2、本声明函仅适用于投标人为企业或个体工商户，其他组织形式单位不适用。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ajorEastAsia" w:eastAsiaTheme="majorEastAsia" w:hAnsiTheme="majorEastAsia" w:cstheme="maj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heme="minorEastAsia" w:eastAsiaTheme="minorEastAsia" w:hAnsiTheme="minorEastAsia"/>
          <w:b/>
          <w:bCs/>
          <w:color w:val="auto"/>
          <w:sz w:val="24"/>
          <w:szCs w:val="24"/>
          <w:highlight w:val="none"/>
        </w:rPr>
      </w:pPr>
      <w:r>
        <w:rPr>
          <w:rFonts w:asciiTheme="minorEastAsia" w:eastAsiaTheme="minorEastAsia" w:hAnsiTheme="minorEastAsia" w:hint="eastAsia"/>
          <w:b/>
          <w:bCs/>
          <w:color w:val="auto"/>
          <w:sz w:val="24"/>
          <w:szCs w:val="24"/>
          <w:highlight w:val="none"/>
        </w:rPr>
        <w:t>（二）残疾人福利性单位声明函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本投标人郑重声明，根据《财政部民政部中国残疾人联合会关于促进残疾人就业政府采购政策的通知》（财库〔2017〕141 号）的规定，本投标人参加</w:t>
      </w:r>
      <w:r>
        <w:rPr>
          <w:b/>
          <w:bCs/>
          <w:color w:val="auto"/>
          <w:szCs w:val="21"/>
          <w:highlight w:val="none"/>
          <w:u w:val="single"/>
        </w:rPr>
        <w:t>（采购人名称）</w:t>
      </w:r>
      <w:r>
        <w:rPr>
          <w:color w:val="auto"/>
          <w:szCs w:val="21"/>
          <w:highlight w:val="none"/>
        </w:rPr>
        <w:t>的</w:t>
      </w:r>
      <w:r>
        <w:rPr>
          <w:b/>
          <w:bCs/>
          <w:color w:val="auto"/>
          <w:szCs w:val="21"/>
          <w:highlight w:val="none"/>
          <w:u w:val="single"/>
        </w:rPr>
        <w:t>（项目名称）</w:t>
      </w:r>
      <w:r>
        <w:rPr>
          <w:color w:val="auto"/>
          <w:szCs w:val="21"/>
          <w:highlight w:val="none"/>
        </w:rPr>
        <w:t>采购活动，服务全部由符合政策要求的残疾人福利性单位承接。相关残疾人福利性单位的具体情况如下：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1.</w:t>
      </w:r>
      <w:r>
        <w:rPr>
          <w:b/>
          <w:bCs/>
          <w:color w:val="auto"/>
          <w:szCs w:val="21"/>
          <w:highlight w:val="none"/>
          <w:u w:val="single"/>
        </w:rPr>
        <w:t xml:space="preserve"> （标的名称）</w:t>
      </w:r>
      <w:r>
        <w:rPr>
          <w:color w:val="auto"/>
          <w:szCs w:val="21"/>
          <w:highlight w:val="none"/>
        </w:rPr>
        <w:t xml:space="preserve"> ，承接企业为</w:t>
      </w:r>
      <w:r>
        <w:rPr>
          <w:b/>
          <w:bCs/>
          <w:color w:val="auto"/>
          <w:szCs w:val="21"/>
          <w:highlight w:val="none"/>
          <w:u w:val="single"/>
        </w:rPr>
        <w:t>（单位名称）</w:t>
      </w:r>
      <w:r>
        <w:rPr>
          <w:color w:val="auto"/>
          <w:szCs w:val="21"/>
          <w:highlight w:val="none"/>
        </w:rPr>
        <w:t>，属于</w:t>
      </w:r>
      <w:r>
        <w:rPr>
          <w:b/>
          <w:bCs/>
          <w:color w:val="auto"/>
          <w:szCs w:val="21"/>
          <w:highlight w:val="none"/>
          <w:u w:val="single"/>
        </w:rPr>
        <w:t>残疾人福利性单位</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2.</w:t>
      </w:r>
      <w:r>
        <w:rPr>
          <w:b/>
          <w:bCs/>
          <w:color w:val="auto"/>
          <w:szCs w:val="21"/>
          <w:highlight w:val="none"/>
          <w:u w:val="single"/>
        </w:rPr>
        <w:t xml:space="preserve"> （标的名称）</w:t>
      </w:r>
      <w:r>
        <w:rPr>
          <w:color w:val="auto"/>
          <w:szCs w:val="21"/>
          <w:highlight w:val="none"/>
        </w:rPr>
        <w:t xml:space="preserve"> ，承接企业为</w:t>
      </w:r>
      <w:r>
        <w:rPr>
          <w:b/>
          <w:bCs/>
          <w:color w:val="auto"/>
          <w:szCs w:val="21"/>
          <w:highlight w:val="none"/>
          <w:u w:val="single"/>
        </w:rPr>
        <w:t>（单位名称）</w:t>
      </w:r>
      <w:r>
        <w:rPr>
          <w:color w:val="auto"/>
          <w:szCs w:val="21"/>
          <w:highlight w:val="none"/>
        </w:rPr>
        <w:t>，属于</w:t>
      </w:r>
      <w:r>
        <w:rPr>
          <w:b/>
          <w:bCs/>
          <w:color w:val="auto"/>
          <w:szCs w:val="21"/>
          <w:highlight w:val="none"/>
          <w:u w:val="single"/>
        </w:rPr>
        <w:t>残疾人福利性单位</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color w:val="auto"/>
          <w:highlight w:val="none"/>
        </w:rPr>
      </w:pP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ajorEastAsia" w:eastAsiaTheme="majorEastAsia" w:hAnsiTheme="majorEastAsia" w:cstheme="maj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heme="minorEastAsia" w:eastAsiaTheme="minorEastAsia" w:hAnsiTheme="minorEastAsia"/>
          <w:b/>
          <w:bCs/>
          <w:color w:val="auto"/>
          <w:sz w:val="24"/>
          <w:szCs w:val="24"/>
          <w:highlight w:val="none"/>
        </w:rPr>
      </w:pPr>
      <w:r>
        <w:rPr>
          <w:rFonts w:asciiTheme="minorEastAsia" w:eastAsiaTheme="minorEastAsia" w:hAnsiTheme="minorEastAsia" w:hint="eastAsia"/>
          <w:b/>
          <w:bCs/>
          <w:color w:val="auto"/>
          <w:sz w:val="24"/>
          <w:szCs w:val="24"/>
          <w:highlight w:val="none"/>
        </w:rPr>
        <w:t>（三）监狱企业声明函【监狱企业如需享受优惠政策，还须另行提供省级以上监狱管理局、戒毒管理局（含新疆生产建设兵团）出具的监狱企业证明文件】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本投标人郑重声明，根据《财政部司法部关于政府采购支持监狱企业发展有关问题的通知》（财库〔2014〕68号）的规定，本投标人参加</w:t>
      </w:r>
      <w:r>
        <w:rPr>
          <w:b/>
          <w:bCs/>
          <w:color w:val="auto"/>
          <w:szCs w:val="21"/>
          <w:highlight w:val="none"/>
          <w:u w:val="single"/>
        </w:rPr>
        <w:t>（采购人名称）</w:t>
      </w:r>
      <w:r>
        <w:rPr>
          <w:color w:val="auto"/>
          <w:szCs w:val="21"/>
          <w:highlight w:val="none"/>
        </w:rPr>
        <w:t>的</w:t>
      </w:r>
      <w:r>
        <w:rPr>
          <w:b/>
          <w:bCs/>
          <w:color w:val="auto"/>
          <w:szCs w:val="21"/>
          <w:highlight w:val="none"/>
          <w:u w:val="single"/>
        </w:rPr>
        <w:t>（项目名称）</w:t>
      </w:r>
      <w:r>
        <w:rPr>
          <w:color w:val="auto"/>
          <w:szCs w:val="21"/>
          <w:highlight w:val="none"/>
        </w:rPr>
        <w:t>采购活动，服务全部由符合政策要求的监狱企业承接。相关监狱企业的具体情况如下：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1.</w:t>
      </w:r>
      <w:r>
        <w:rPr>
          <w:b/>
          <w:bCs/>
          <w:color w:val="auto"/>
          <w:szCs w:val="21"/>
          <w:highlight w:val="none"/>
          <w:u w:val="single"/>
        </w:rPr>
        <w:t xml:space="preserve"> （标的名称）</w:t>
      </w:r>
      <w:r>
        <w:rPr>
          <w:color w:val="auto"/>
          <w:szCs w:val="21"/>
          <w:highlight w:val="none"/>
        </w:rPr>
        <w:t xml:space="preserve"> ，承接单位为</w:t>
      </w:r>
      <w:r>
        <w:rPr>
          <w:b/>
          <w:bCs/>
          <w:color w:val="auto"/>
          <w:szCs w:val="21"/>
          <w:highlight w:val="none"/>
          <w:u w:val="single"/>
        </w:rPr>
        <w:t>（企业名称）</w:t>
      </w:r>
      <w:r>
        <w:rPr>
          <w:color w:val="auto"/>
          <w:szCs w:val="21"/>
          <w:highlight w:val="none"/>
        </w:rPr>
        <w:t>，属于</w:t>
      </w:r>
      <w:r>
        <w:rPr>
          <w:b/>
          <w:bCs/>
          <w:color w:val="auto"/>
          <w:szCs w:val="21"/>
          <w:highlight w:val="none"/>
          <w:u w:val="single"/>
        </w:rPr>
        <w:t>监狱企业</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2.</w:t>
      </w:r>
      <w:r>
        <w:rPr>
          <w:b/>
          <w:bCs/>
          <w:color w:val="auto"/>
          <w:szCs w:val="21"/>
          <w:highlight w:val="none"/>
          <w:u w:val="single"/>
        </w:rPr>
        <w:t xml:space="preserve"> （标的名称）</w:t>
      </w:r>
      <w:r>
        <w:rPr>
          <w:color w:val="auto"/>
          <w:szCs w:val="21"/>
          <w:highlight w:val="none"/>
        </w:rPr>
        <w:t xml:space="preserve"> ，承接单位为</w:t>
      </w:r>
      <w:r>
        <w:rPr>
          <w:b/>
          <w:bCs/>
          <w:color w:val="auto"/>
          <w:szCs w:val="21"/>
          <w:highlight w:val="none"/>
          <w:u w:val="single"/>
        </w:rPr>
        <w:t>（企业名称）</w:t>
      </w:r>
      <w:r>
        <w:rPr>
          <w:color w:val="auto"/>
          <w:szCs w:val="21"/>
          <w:highlight w:val="none"/>
        </w:rPr>
        <w:t>，属于</w:t>
      </w:r>
      <w:r>
        <w:rPr>
          <w:b/>
          <w:bCs/>
          <w:color w:val="auto"/>
          <w:szCs w:val="21"/>
          <w:highlight w:val="none"/>
          <w:u w:val="single"/>
        </w:rPr>
        <w:t>监狱企业</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color w:val="auto"/>
          <w:highlight w:val="none"/>
        </w:rPr>
      </w:pP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color w:val="auto"/>
          <w:szCs w:val="21"/>
          <w:highlight w:val="none"/>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Theme="majorEastAsia" w:eastAsiaTheme="majorEastAsia" w:hAnsiTheme="majorEastAsia" w:cstheme="majorEastAsia"/>
          <w:color w:val="auto"/>
          <w:spacing w:val="-6"/>
          <w:szCs w:val="21"/>
          <w:highlight w:val="none"/>
        </w:rPr>
      </w:pPr>
      <w:r>
        <w:rPr>
          <w:color w:val="auto"/>
          <w:szCs w:val="21"/>
          <w:highlight w:val="none"/>
        </w:rPr>
        <w:t>附：省级以上监狱管理局、戒毒管理局（含新疆生产建设兵团）出具的监狱企业证明文件</w:t>
      </w:r>
      <w:r>
        <w:rPr>
          <w:rFonts w:asciiTheme="majorEastAsia" w:eastAsiaTheme="majorEastAsia" w:hAnsiTheme="majorEastAsia" w:cstheme="majorEastAsia" w:hint="eastAsia"/>
          <w:color w:val="auto"/>
          <w:spacing w:val="-6"/>
          <w:szCs w:val="21"/>
          <w:highlight w:val="none"/>
        </w:rPr>
        <w:t>。</w:t>
      </w:r>
    </w:p>
    <w:p>
      <w:pPr>
        <w:spacing w:line="460" w:lineRule="exact"/>
        <w:ind w:firstLine="420" w:firstLineChars="200"/>
        <w:jc w:val="left"/>
        <w:rPr>
          <w:rFonts w:asciiTheme="majorEastAsia" w:eastAsiaTheme="majorEastAsia" w:hAnsiTheme="majorEastAsia" w:cstheme="majorEastAsia"/>
          <w:color w:val="auto"/>
          <w:spacing w:val="-6"/>
          <w:szCs w:val="21"/>
          <w:highlight w:val="none"/>
        </w:rPr>
      </w:pPr>
    </w:p>
    <w:p>
      <w:pPr>
        <w:spacing w:line="410" w:lineRule="exact"/>
        <w:rPr>
          <w:rFonts w:asciiTheme="majorEastAsia" w:eastAsiaTheme="majorEastAsia" w:hAnsiTheme="majorEastAsia" w:cstheme="majorEastAsia"/>
          <w:color w:val="auto"/>
          <w:szCs w:val="21"/>
          <w:highlight w:val="none"/>
        </w:rPr>
      </w:pPr>
    </w:p>
    <w:p>
      <w:pPr>
        <w:pStyle w:val="NormalWeb"/>
        <w:shd w:val="clear" w:color="auto" w:fill="FFFFFF"/>
        <w:spacing w:line="400" w:lineRule="exact"/>
        <w:ind w:firstLine="412" w:firstLineChars="196"/>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 w:val="21"/>
          <w:szCs w:val="21"/>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五、详细分项报价清单</w:t>
      </w:r>
    </w:p>
    <w:p>
      <w:pPr>
        <w:tabs>
          <w:tab w:val="left" w:pos="720"/>
        </w:tabs>
        <w:ind w:firstLine="2730" w:firstLineChars="1300"/>
        <w:rPr>
          <w:b/>
          <w:color w:val="auto"/>
          <w:sz w:val="24"/>
          <w:highlight w:val="none"/>
        </w:rPr>
      </w:pPr>
      <w:r>
        <w:rPr>
          <w:rFonts w:hint="eastAsia"/>
          <w:b/>
          <w:color w:val="auto"/>
          <w:sz w:val="24"/>
          <w:highlight w:val="none"/>
        </w:rPr>
        <w:t>（一）分项报价表</w:t>
      </w:r>
    </w:p>
    <w:tbl>
      <w:tblPr>
        <w:tblStyle w:val="TableNorm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46"/>
        <w:gridCol w:w="3571"/>
        <w:gridCol w:w="1937"/>
        <w:gridCol w:w="1970"/>
      </w:tblGrid>
      <w:tr>
        <w:tblPrEx>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614" w:type="pct"/>
            <w:noWrap w:val="0"/>
            <w:vAlign w:val="center"/>
          </w:tcPr>
          <w:p>
            <w:pPr>
              <w:pStyle w:val="14"/>
              <w:tabs>
                <w:tab w:val="left" w:pos="4"/>
              </w:tabs>
              <w:jc w:val="center"/>
              <w:rPr>
                <w:rFonts w:ascii="宋体" w:eastAsia="宋体" w:hAnsi="宋体" w:cs="宋体"/>
                <w:b/>
                <w:bCs/>
                <w:color w:val="auto"/>
                <w:sz w:val="21"/>
                <w:szCs w:val="21"/>
                <w:highlight w:val="none"/>
              </w:rPr>
            </w:pPr>
            <w:r>
              <w:rPr>
                <w:rFonts w:ascii="宋体" w:eastAsia="宋体" w:hAnsi="宋体" w:cs="宋体" w:hint="eastAsia"/>
                <w:b/>
                <w:bCs/>
                <w:color w:val="auto"/>
                <w:sz w:val="21"/>
                <w:szCs w:val="21"/>
                <w:highlight w:val="none"/>
              </w:rPr>
              <w:t>序号</w:t>
            </w:r>
          </w:p>
        </w:tc>
        <w:tc>
          <w:tcPr>
            <w:tcW w:w="2094" w:type="pct"/>
            <w:noWrap w:val="0"/>
            <w:vAlign w:val="center"/>
          </w:tcPr>
          <w:p>
            <w:pPr>
              <w:pStyle w:val="14"/>
              <w:tabs>
                <w:tab w:val="left" w:pos="4"/>
              </w:tabs>
              <w:jc w:val="center"/>
              <w:rPr>
                <w:rFonts w:ascii="宋体" w:eastAsia="宋体" w:hAnsi="宋体" w:cs="宋体"/>
                <w:b/>
                <w:bCs/>
                <w:color w:val="auto"/>
                <w:sz w:val="21"/>
                <w:szCs w:val="21"/>
                <w:highlight w:val="none"/>
              </w:rPr>
            </w:pPr>
            <w:r>
              <w:rPr>
                <w:rFonts w:ascii="宋体" w:eastAsia="宋体" w:hAnsi="宋体" w:cs="宋体" w:hint="eastAsia"/>
                <w:b/>
                <w:bCs/>
                <w:color w:val="auto"/>
                <w:sz w:val="21"/>
                <w:szCs w:val="21"/>
                <w:highlight w:val="none"/>
              </w:rPr>
              <w:t>项目内容</w:t>
            </w:r>
          </w:p>
        </w:tc>
        <w:tc>
          <w:tcPr>
            <w:tcW w:w="1135" w:type="pct"/>
            <w:noWrap w:val="0"/>
            <w:vAlign w:val="center"/>
          </w:tcPr>
          <w:p>
            <w:pPr>
              <w:jc w:val="center"/>
              <w:rPr>
                <w:rFonts w:ascii="宋体" w:eastAsia="宋体" w:hAnsi="宋体" w:cs="宋体"/>
                <w:b/>
                <w:bCs/>
                <w:color w:val="auto"/>
                <w:sz w:val="21"/>
                <w:szCs w:val="21"/>
                <w:highlight w:val="none"/>
              </w:rPr>
            </w:pPr>
            <w:r>
              <w:rPr>
                <w:rFonts w:ascii="宋体" w:eastAsia="宋体" w:hAnsi="宋体" w:cs="宋体" w:hint="eastAsia"/>
                <w:b/>
                <w:bCs/>
                <w:color w:val="auto"/>
                <w:sz w:val="21"/>
                <w:szCs w:val="21"/>
                <w:highlight w:val="none"/>
              </w:rPr>
              <w:t>金额（元）</w:t>
            </w:r>
          </w:p>
        </w:tc>
        <w:tc>
          <w:tcPr>
            <w:tcW w:w="1155" w:type="pct"/>
            <w:noWrap w:val="0"/>
            <w:vAlign w:val="center"/>
          </w:tcPr>
          <w:p>
            <w:pPr>
              <w:pStyle w:val="14"/>
              <w:tabs>
                <w:tab w:val="left" w:pos="4"/>
              </w:tabs>
              <w:jc w:val="center"/>
              <w:rPr>
                <w:rFonts w:ascii="宋体" w:eastAsia="宋体" w:hAnsi="宋体" w:cs="宋体"/>
                <w:b/>
                <w:bCs/>
                <w:color w:val="auto"/>
                <w:sz w:val="21"/>
                <w:szCs w:val="21"/>
                <w:highlight w:val="none"/>
              </w:rPr>
            </w:pPr>
            <w:r>
              <w:rPr>
                <w:rFonts w:ascii="宋体" w:eastAsia="宋体" w:hAnsi="宋体" w:cs="宋体" w:hint="eastAsia"/>
                <w:b/>
                <w:bCs/>
                <w:color w:val="auto"/>
                <w:sz w:val="21"/>
                <w:szCs w:val="21"/>
                <w:highlight w:val="none"/>
              </w:rPr>
              <w:t>备注</w:t>
            </w:r>
          </w:p>
        </w:tc>
      </w:tr>
      <w:tr>
        <w:tblPrEx>
          <w:tblW w:w="4997" w:type="pct"/>
          <w:jc w:val="center"/>
          <w:tblCellMar>
            <w:top w:w="0" w:type="dxa"/>
            <w:left w:w="108" w:type="dxa"/>
            <w:bottom w:w="0" w:type="dxa"/>
            <w:right w:w="108" w:type="dxa"/>
          </w:tblCellMar>
        </w:tblPrEx>
        <w:trPr>
          <w:trHeight w:val="480"/>
          <w:jc w:val="center"/>
        </w:trPr>
        <w:tc>
          <w:tcPr>
            <w:tcW w:w="614" w:type="pct"/>
            <w:noWrap w:val="0"/>
            <w:vAlign w:val="center"/>
          </w:tcPr>
          <w:p>
            <w:pPr>
              <w:pStyle w:val="14"/>
              <w:tabs>
                <w:tab w:val="left" w:pos="4"/>
              </w:tabs>
              <w:jc w:val="center"/>
              <w:rPr>
                <w:rFonts w:ascii="宋体" w:eastAsia="宋体" w:hAnsi="宋体" w:cs="宋体"/>
                <w:color w:val="auto"/>
                <w:sz w:val="21"/>
                <w:szCs w:val="21"/>
                <w:highlight w:val="none"/>
              </w:rPr>
            </w:pPr>
            <w:r>
              <w:rPr>
                <w:rFonts w:ascii="宋体" w:eastAsia="宋体" w:hAnsi="宋体" w:cs="宋体" w:hint="eastAsia"/>
                <w:color w:val="auto"/>
                <w:sz w:val="21"/>
                <w:szCs w:val="21"/>
                <w:highlight w:val="none"/>
              </w:rPr>
              <w:t>1</w:t>
            </w:r>
          </w:p>
        </w:tc>
        <w:tc>
          <w:tcPr>
            <w:tcW w:w="2094" w:type="pct"/>
            <w:noWrap w:val="0"/>
            <w:vAlign w:val="top"/>
          </w:tcPr>
          <w:p>
            <w:pPr>
              <w:jc w:val="center"/>
              <w:rPr>
                <w:rFonts w:ascii="宋体" w:eastAsia="宋体" w:hAnsi="宋体" w:cs="宋体"/>
                <w:color w:val="auto"/>
                <w:sz w:val="21"/>
                <w:szCs w:val="21"/>
                <w:highlight w:val="none"/>
              </w:rPr>
            </w:pPr>
          </w:p>
        </w:tc>
        <w:tc>
          <w:tcPr>
            <w:tcW w:w="1135" w:type="pct"/>
            <w:noWrap w:val="0"/>
            <w:vAlign w:val="center"/>
          </w:tcPr>
          <w:p>
            <w:pPr>
              <w:pStyle w:val="14"/>
              <w:tabs>
                <w:tab w:val="left" w:pos="4"/>
              </w:tabs>
              <w:jc w:val="center"/>
              <w:rPr>
                <w:rFonts w:ascii="宋体" w:eastAsia="宋体" w:hAnsi="宋体" w:cs="宋体"/>
                <w:color w:val="auto"/>
                <w:sz w:val="21"/>
                <w:szCs w:val="21"/>
                <w:highlight w:val="none"/>
              </w:rPr>
            </w:pPr>
          </w:p>
        </w:tc>
        <w:tc>
          <w:tcPr>
            <w:tcW w:w="1155" w:type="pct"/>
            <w:noWrap w:val="0"/>
            <w:vAlign w:val="center"/>
          </w:tcPr>
          <w:p>
            <w:pPr>
              <w:pStyle w:val="14"/>
              <w:tabs>
                <w:tab w:val="left" w:pos="4"/>
              </w:tabs>
              <w:jc w:val="center"/>
              <w:rPr>
                <w:rFonts w:ascii="宋体" w:eastAsia="宋体" w:hAnsi="宋体" w:cs="宋体"/>
                <w:color w:val="auto"/>
                <w:sz w:val="21"/>
                <w:szCs w:val="21"/>
                <w:highlight w:val="none"/>
              </w:rPr>
            </w:pPr>
          </w:p>
        </w:tc>
      </w:tr>
      <w:tr>
        <w:tblPrEx>
          <w:tblW w:w="4997" w:type="pct"/>
          <w:jc w:val="center"/>
          <w:tblCellMar>
            <w:top w:w="0" w:type="dxa"/>
            <w:left w:w="108" w:type="dxa"/>
            <w:bottom w:w="0" w:type="dxa"/>
            <w:right w:w="108" w:type="dxa"/>
          </w:tblCellMar>
        </w:tblPrEx>
        <w:trPr>
          <w:trHeight w:val="480"/>
          <w:jc w:val="center"/>
        </w:trPr>
        <w:tc>
          <w:tcPr>
            <w:tcW w:w="614" w:type="pct"/>
            <w:noWrap w:val="0"/>
            <w:vAlign w:val="center"/>
          </w:tcPr>
          <w:p>
            <w:pPr>
              <w:pStyle w:val="14"/>
              <w:tabs>
                <w:tab w:val="left" w:pos="4"/>
              </w:tabs>
              <w:jc w:val="center"/>
              <w:rPr>
                <w:rFonts w:ascii="宋体" w:eastAsia="宋体" w:hAnsi="宋体" w:cs="宋体"/>
                <w:color w:val="auto"/>
                <w:sz w:val="21"/>
                <w:szCs w:val="21"/>
                <w:highlight w:val="none"/>
              </w:rPr>
            </w:pPr>
            <w:r>
              <w:rPr>
                <w:rFonts w:ascii="宋体" w:eastAsia="宋体" w:hAnsi="宋体" w:cs="宋体" w:hint="eastAsia"/>
                <w:color w:val="auto"/>
                <w:sz w:val="21"/>
                <w:szCs w:val="21"/>
                <w:highlight w:val="none"/>
              </w:rPr>
              <w:t>2</w:t>
            </w:r>
          </w:p>
        </w:tc>
        <w:tc>
          <w:tcPr>
            <w:tcW w:w="2094" w:type="pct"/>
            <w:noWrap w:val="0"/>
            <w:vAlign w:val="top"/>
          </w:tcPr>
          <w:p>
            <w:pPr>
              <w:jc w:val="center"/>
              <w:rPr>
                <w:rFonts w:ascii="宋体" w:eastAsia="宋体" w:hAnsi="宋体" w:cs="宋体"/>
                <w:color w:val="auto"/>
                <w:sz w:val="21"/>
                <w:szCs w:val="21"/>
                <w:highlight w:val="none"/>
              </w:rPr>
            </w:pPr>
          </w:p>
        </w:tc>
        <w:tc>
          <w:tcPr>
            <w:tcW w:w="1135" w:type="pct"/>
            <w:noWrap w:val="0"/>
            <w:vAlign w:val="center"/>
          </w:tcPr>
          <w:p>
            <w:pPr>
              <w:pStyle w:val="14"/>
              <w:tabs>
                <w:tab w:val="left" w:pos="4"/>
              </w:tabs>
              <w:jc w:val="center"/>
              <w:rPr>
                <w:rFonts w:ascii="宋体" w:eastAsia="宋体" w:hAnsi="宋体" w:cs="宋体"/>
                <w:color w:val="auto"/>
                <w:sz w:val="21"/>
                <w:szCs w:val="21"/>
                <w:highlight w:val="none"/>
              </w:rPr>
            </w:pPr>
          </w:p>
        </w:tc>
        <w:tc>
          <w:tcPr>
            <w:tcW w:w="1155" w:type="pct"/>
            <w:noWrap w:val="0"/>
            <w:vAlign w:val="center"/>
          </w:tcPr>
          <w:p>
            <w:pPr>
              <w:pStyle w:val="14"/>
              <w:tabs>
                <w:tab w:val="left" w:pos="4"/>
              </w:tabs>
              <w:jc w:val="center"/>
              <w:rPr>
                <w:rFonts w:ascii="宋体" w:eastAsia="宋体" w:hAnsi="宋体" w:cs="宋体"/>
                <w:color w:val="auto"/>
                <w:sz w:val="21"/>
                <w:szCs w:val="21"/>
                <w:highlight w:val="none"/>
              </w:rPr>
            </w:pPr>
          </w:p>
        </w:tc>
      </w:tr>
      <w:tr>
        <w:tblPrEx>
          <w:tblW w:w="4997" w:type="pct"/>
          <w:jc w:val="center"/>
          <w:tblCellMar>
            <w:top w:w="0" w:type="dxa"/>
            <w:left w:w="108" w:type="dxa"/>
            <w:bottom w:w="0" w:type="dxa"/>
            <w:right w:w="108" w:type="dxa"/>
          </w:tblCellMar>
        </w:tblPrEx>
        <w:trPr>
          <w:trHeight w:val="480"/>
          <w:jc w:val="center"/>
        </w:trPr>
        <w:tc>
          <w:tcPr>
            <w:tcW w:w="614" w:type="pct"/>
            <w:noWrap w:val="0"/>
            <w:vAlign w:val="center"/>
          </w:tcPr>
          <w:p>
            <w:pPr>
              <w:pStyle w:val="14"/>
              <w:tabs>
                <w:tab w:val="left" w:pos="4"/>
              </w:tabs>
              <w:jc w:val="center"/>
              <w:rPr>
                <w:rFonts w:ascii="宋体" w:eastAsia="宋体" w:hAnsi="宋体" w:cs="宋体"/>
                <w:color w:val="auto"/>
                <w:sz w:val="21"/>
                <w:szCs w:val="21"/>
                <w:highlight w:val="none"/>
              </w:rPr>
            </w:pPr>
            <w:r>
              <w:rPr>
                <w:rFonts w:ascii="宋体" w:eastAsia="宋体" w:hAnsi="宋体" w:cs="宋体" w:hint="eastAsia"/>
                <w:color w:val="auto"/>
                <w:sz w:val="21"/>
                <w:szCs w:val="21"/>
                <w:highlight w:val="none"/>
              </w:rPr>
              <w:t>3</w:t>
            </w:r>
          </w:p>
        </w:tc>
        <w:tc>
          <w:tcPr>
            <w:tcW w:w="2094" w:type="pct"/>
            <w:noWrap w:val="0"/>
            <w:vAlign w:val="top"/>
          </w:tcPr>
          <w:p>
            <w:pPr>
              <w:jc w:val="center"/>
              <w:rPr>
                <w:rFonts w:ascii="宋体" w:eastAsia="宋体" w:hAnsi="宋体" w:cs="宋体"/>
                <w:color w:val="auto"/>
                <w:sz w:val="21"/>
                <w:szCs w:val="21"/>
                <w:highlight w:val="none"/>
              </w:rPr>
            </w:pPr>
          </w:p>
        </w:tc>
        <w:tc>
          <w:tcPr>
            <w:tcW w:w="1135" w:type="pct"/>
            <w:noWrap w:val="0"/>
            <w:vAlign w:val="center"/>
          </w:tcPr>
          <w:p>
            <w:pPr>
              <w:pStyle w:val="14"/>
              <w:tabs>
                <w:tab w:val="left" w:pos="4"/>
              </w:tabs>
              <w:jc w:val="center"/>
              <w:rPr>
                <w:rFonts w:ascii="宋体" w:eastAsia="宋体" w:hAnsi="宋体" w:cs="宋体"/>
                <w:color w:val="auto"/>
                <w:sz w:val="21"/>
                <w:szCs w:val="21"/>
                <w:highlight w:val="none"/>
              </w:rPr>
            </w:pPr>
          </w:p>
        </w:tc>
        <w:tc>
          <w:tcPr>
            <w:tcW w:w="1155" w:type="pct"/>
            <w:noWrap w:val="0"/>
            <w:vAlign w:val="center"/>
          </w:tcPr>
          <w:p>
            <w:pPr>
              <w:pStyle w:val="14"/>
              <w:tabs>
                <w:tab w:val="left" w:pos="4"/>
              </w:tabs>
              <w:jc w:val="center"/>
              <w:rPr>
                <w:rFonts w:ascii="宋体" w:eastAsia="宋体" w:hAnsi="宋体" w:cs="宋体"/>
                <w:color w:val="auto"/>
                <w:sz w:val="21"/>
                <w:szCs w:val="21"/>
                <w:highlight w:val="none"/>
              </w:rPr>
            </w:pPr>
          </w:p>
        </w:tc>
      </w:tr>
      <w:tr>
        <w:tblPrEx>
          <w:tblW w:w="4997" w:type="pct"/>
          <w:jc w:val="center"/>
          <w:tblCellMar>
            <w:top w:w="0" w:type="dxa"/>
            <w:left w:w="108" w:type="dxa"/>
            <w:bottom w:w="0" w:type="dxa"/>
            <w:right w:w="108" w:type="dxa"/>
          </w:tblCellMar>
        </w:tblPrEx>
        <w:trPr>
          <w:trHeight w:val="480"/>
          <w:jc w:val="center"/>
        </w:trPr>
        <w:tc>
          <w:tcPr>
            <w:tcW w:w="614" w:type="pct"/>
            <w:noWrap w:val="0"/>
            <w:vAlign w:val="center"/>
          </w:tcPr>
          <w:p>
            <w:pPr>
              <w:pStyle w:val="14"/>
              <w:tabs>
                <w:tab w:val="left" w:pos="4"/>
              </w:tabs>
              <w:jc w:val="center"/>
              <w:rPr>
                <w:rFonts w:ascii="宋体" w:eastAsia="宋体" w:hAnsi="宋体" w:cs="宋体"/>
                <w:color w:val="auto"/>
                <w:sz w:val="21"/>
                <w:szCs w:val="21"/>
                <w:highlight w:val="none"/>
              </w:rPr>
            </w:pPr>
            <w:r>
              <w:rPr>
                <w:rFonts w:ascii="宋体" w:eastAsia="宋体" w:hAnsi="宋体" w:cs="宋体" w:hint="eastAsia"/>
                <w:color w:val="auto"/>
                <w:sz w:val="21"/>
                <w:szCs w:val="21"/>
                <w:highlight w:val="none"/>
              </w:rPr>
              <w:t>...</w:t>
            </w:r>
          </w:p>
        </w:tc>
        <w:tc>
          <w:tcPr>
            <w:tcW w:w="2094" w:type="pct"/>
            <w:noWrap w:val="0"/>
            <w:vAlign w:val="top"/>
          </w:tcPr>
          <w:p>
            <w:pPr>
              <w:jc w:val="center"/>
              <w:rPr>
                <w:rFonts w:ascii="宋体" w:eastAsia="宋体" w:hAnsi="宋体" w:cs="宋体"/>
                <w:color w:val="auto"/>
                <w:sz w:val="21"/>
                <w:szCs w:val="21"/>
                <w:highlight w:val="none"/>
              </w:rPr>
            </w:pPr>
          </w:p>
        </w:tc>
        <w:tc>
          <w:tcPr>
            <w:tcW w:w="1135" w:type="pct"/>
            <w:noWrap w:val="0"/>
            <w:vAlign w:val="center"/>
          </w:tcPr>
          <w:p>
            <w:pPr>
              <w:pStyle w:val="14"/>
              <w:tabs>
                <w:tab w:val="left" w:pos="4"/>
              </w:tabs>
              <w:jc w:val="center"/>
              <w:rPr>
                <w:rFonts w:ascii="宋体" w:eastAsia="宋体" w:hAnsi="宋体" w:cs="宋体"/>
                <w:color w:val="auto"/>
                <w:sz w:val="21"/>
                <w:szCs w:val="21"/>
                <w:highlight w:val="none"/>
              </w:rPr>
            </w:pPr>
          </w:p>
        </w:tc>
        <w:tc>
          <w:tcPr>
            <w:tcW w:w="1155" w:type="pct"/>
            <w:noWrap w:val="0"/>
            <w:vAlign w:val="center"/>
          </w:tcPr>
          <w:p>
            <w:pPr>
              <w:pStyle w:val="14"/>
              <w:tabs>
                <w:tab w:val="left" w:pos="4"/>
              </w:tabs>
              <w:jc w:val="center"/>
              <w:rPr>
                <w:rFonts w:ascii="宋体" w:eastAsia="宋体" w:hAnsi="宋体" w:cs="宋体"/>
                <w:color w:val="auto"/>
                <w:sz w:val="21"/>
                <w:szCs w:val="21"/>
                <w:highlight w:val="none"/>
              </w:rPr>
            </w:pPr>
          </w:p>
        </w:tc>
      </w:tr>
      <w:tr>
        <w:tblPrEx>
          <w:tblW w:w="4997" w:type="pct"/>
          <w:jc w:val="center"/>
          <w:tblCellMar>
            <w:top w:w="0" w:type="dxa"/>
            <w:left w:w="108" w:type="dxa"/>
            <w:bottom w:w="0" w:type="dxa"/>
            <w:right w:w="108" w:type="dxa"/>
          </w:tblCellMar>
        </w:tblPrEx>
        <w:trPr>
          <w:trHeight w:val="480"/>
          <w:jc w:val="center"/>
        </w:trPr>
        <w:tc>
          <w:tcPr>
            <w:tcW w:w="3844" w:type="pct"/>
            <w:gridSpan w:val="3"/>
            <w:noWrap w:val="0"/>
            <w:vAlign w:val="center"/>
          </w:tcPr>
          <w:p>
            <w:pPr>
              <w:pStyle w:val="14"/>
              <w:tabs>
                <w:tab w:val="left" w:pos="4"/>
              </w:tabs>
              <w:jc w:val="both"/>
              <w:rPr>
                <w:rFonts w:ascii="宋体" w:eastAsia="宋体" w:hAnsi="宋体" w:cs="宋体"/>
                <w:color w:val="auto"/>
                <w:sz w:val="21"/>
                <w:szCs w:val="21"/>
                <w:highlight w:val="none"/>
              </w:rPr>
            </w:pPr>
            <w:r>
              <w:rPr>
                <w:rFonts w:ascii="宋体" w:eastAsia="宋体" w:hAnsi="宋体" w:cs="宋体" w:hint="eastAsia"/>
                <w:bCs/>
                <w:color w:val="auto"/>
                <w:sz w:val="21"/>
                <w:szCs w:val="21"/>
                <w:highlight w:val="none"/>
              </w:rPr>
              <w:t>投标总价（元）：</w:t>
            </w:r>
            <w:r>
              <w:rPr>
                <w:rFonts w:ascii="宋体" w:eastAsia="宋体" w:hAnsi="宋体" w:cs="宋体" w:hint="eastAsia"/>
                <w:bCs/>
                <w:color w:val="auto"/>
                <w:sz w:val="21"/>
                <w:szCs w:val="21"/>
                <w:highlight w:val="none"/>
              </w:rPr>
              <w:tab/>
            </w:r>
          </w:p>
        </w:tc>
        <w:tc>
          <w:tcPr>
            <w:tcW w:w="1155" w:type="pct"/>
            <w:noWrap w:val="0"/>
            <w:vAlign w:val="center"/>
          </w:tcPr>
          <w:p>
            <w:pPr>
              <w:pStyle w:val="14"/>
              <w:tabs>
                <w:tab w:val="left" w:pos="4"/>
              </w:tabs>
              <w:jc w:val="both"/>
              <w:rPr>
                <w:rFonts w:ascii="宋体" w:eastAsia="宋体" w:hAnsi="宋体" w:cs="宋体"/>
                <w:color w:val="auto"/>
                <w:sz w:val="21"/>
                <w:szCs w:val="21"/>
                <w:highlight w:val="none"/>
              </w:rPr>
            </w:pPr>
          </w:p>
        </w:tc>
      </w:tr>
    </w:tbl>
    <w:p>
      <w:pPr>
        <w:ind w:firstLine="420" w:firstLineChars="200"/>
        <w:rPr>
          <w:rFonts w:hAnsi="宋体"/>
          <w:b/>
          <w:bCs/>
          <w:color w:val="auto"/>
          <w:sz w:val="24"/>
          <w:highlight w:val="none"/>
        </w:rPr>
      </w:pPr>
    </w:p>
    <w:p>
      <w:pPr>
        <w:tabs>
          <w:tab w:val="left" w:pos="720"/>
        </w:tabs>
        <w:jc w:val="center"/>
        <w:rPr>
          <w:b/>
          <w:color w:val="auto"/>
          <w:sz w:val="24"/>
          <w:highlight w:val="none"/>
        </w:rPr>
      </w:pPr>
      <w:r>
        <w:rPr>
          <w:rFonts w:hint="eastAsia"/>
          <w:b/>
          <w:color w:val="auto"/>
          <w:sz w:val="24"/>
          <w:highlight w:val="none"/>
        </w:rPr>
        <w:t>（二）</w:t>
      </w:r>
      <w:bookmarkStart w:id="31" w:name="_Hlk72073235"/>
      <w:r>
        <w:rPr>
          <w:rFonts w:hint="eastAsia"/>
          <w:b/>
          <w:color w:val="auto"/>
          <w:sz w:val="24"/>
          <w:highlight w:val="none"/>
        </w:rPr>
        <w:t>投标人认为需要涉及的其他内容报价清单</w:t>
      </w:r>
      <w:bookmarkEnd w:id="31"/>
    </w:p>
    <w:p>
      <w:pPr>
        <w:ind w:firstLine="630" w:firstLineChars="300"/>
        <w:rPr>
          <w:rFonts w:ascii="宋体" w:hAnsi="宋体"/>
          <w:color w:val="auto"/>
          <w:highlight w:val="none"/>
        </w:rPr>
      </w:pPr>
    </w:p>
    <w:p>
      <w:pPr>
        <w:jc w:val="center"/>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（信息公开部分的内容到此为止！往下为信息不公开部分。）</w:t>
      </w:r>
    </w:p>
    <w:p>
      <w:pPr>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投标文件附件（非信息公开部分）：</w:t>
      </w:r>
    </w:p>
    <w:p>
      <w:pPr>
        <w:rPr>
          <w:rFonts w:asciiTheme="majorEastAsia" w:eastAsiaTheme="majorEastAsia" w:hAnsiTheme="majorEastAsia" w:cstheme="majorEastAsia"/>
          <w:b/>
          <w:color w:val="auto"/>
          <w:sz w:val="30"/>
          <w:szCs w:val="30"/>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一、法定代表人（负责人）资格证明书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同志，现任我单位</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职务，为法定代表人（负责人），特此证明。</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说明：1、法定代表人为企业事业单位、国家机关、社会团体的主要负责人。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2、内容必须填写真实、清楚，涂改无效，不得转让、买卖。</w:t>
      </w: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附：要求必须提供法定代表人（负责人）身份证（境外人员无法提供身份证的，可提供护照）扫描件（正反两面）。</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4"/>
        <w:gridCol w:w="42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45"/>
        </w:trPr>
        <w:tc>
          <w:tcPr>
            <w:tcW w:w="4264" w:type="dxa"/>
          </w:tcPr>
          <w:p>
            <w:pPr>
              <w:spacing w:line="480" w:lineRule="exact"/>
              <w:rPr>
                <w:rFonts w:asciiTheme="majorEastAsia" w:eastAsiaTheme="majorEastAsia" w:hAnsiTheme="majorEastAsia" w:cstheme="majorEastAsia" w:hint="eastAsia"/>
                <w:b/>
                <w:color w:val="auto"/>
                <w:sz w:val="30"/>
                <w:szCs w:val="30"/>
                <w:highlight w:val="none"/>
                <w:vertAlign w:val="baseline"/>
                <w:lang w:val="en-US" w:eastAsia="zh-CN"/>
              </w:rPr>
            </w:pPr>
            <w:r>
              <w:rPr>
                <w:rFonts w:asciiTheme="majorEastAsia" w:eastAsiaTheme="majorEastAsia" w:hAnsiTheme="majorEastAsia" w:cstheme="majorEastAsia" w:hint="eastAsia"/>
                <w:b/>
                <w:color w:val="auto"/>
                <w:sz w:val="30"/>
                <w:szCs w:val="30"/>
                <w:highlight w:val="none"/>
                <w:vertAlign w:val="baseline"/>
                <w:lang w:val="en-US" w:eastAsia="zh-CN"/>
              </w:rPr>
              <w:t>有效期内的身份证扫描件</w:t>
            </w:r>
          </w:p>
        </w:tc>
        <w:tc>
          <w:tcPr>
            <w:tcW w:w="4265" w:type="dxa"/>
          </w:tcPr>
          <w:p>
            <w:pPr>
              <w:spacing w:line="480" w:lineRule="exact"/>
              <w:rPr>
                <w:rFonts w:asciiTheme="majorEastAsia" w:eastAsiaTheme="majorEastAsia" w:hAnsiTheme="majorEastAsia" w:cstheme="majorEastAsia"/>
                <w:b/>
                <w:color w:val="auto"/>
                <w:sz w:val="30"/>
                <w:szCs w:val="30"/>
                <w:highlight w:val="none"/>
                <w:vertAlign w:val="baseline"/>
              </w:rPr>
            </w:pPr>
          </w:p>
        </w:tc>
      </w:tr>
    </w:tbl>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二、投标文件签署授权委托书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本授权委托书声明：我</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（姓名）系</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（投标供应商名称）的法定代表人（负责人），现授权委托</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（姓名）为我单位签署本项目已递交的投标文件的法定代表人的授权委托代理人，代理人全权代表我所签署的本项目已递交的投标文件内容我均承认。</w:t>
      </w:r>
    </w:p>
    <w:p>
      <w:pPr>
        <w:pStyle w:val="NormalIndent"/>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代理人无转委托权，特此委托。</w:t>
      </w: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代理人：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联系电话：</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手机：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身份证号码：</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职务：</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授权委托日期：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月 </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附：要求必须提供代理人身份证（境外人员无法提供身份证的，可提供护照）扫描件（正反两面）。</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4"/>
        <w:gridCol w:w="42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50"/>
        </w:trPr>
        <w:tc>
          <w:tcPr>
            <w:tcW w:w="4264" w:type="dxa"/>
          </w:tcPr>
          <w:p>
            <w:pPr>
              <w:spacing w:line="480" w:lineRule="exact"/>
              <w:rPr>
                <w:rFonts w:asciiTheme="majorEastAsia" w:eastAsiaTheme="majorEastAsia" w:hAnsiTheme="majorEastAsia" w:cstheme="majorEastAsia" w:hint="eastAsia"/>
                <w:b/>
                <w:color w:val="auto"/>
                <w:sz w:val="30"/>
                <w:szCs w:val="30"/>
                <w:highlight w:val="none"/>
                <w:vertAlign w:val="baseline"/>
                <w:lang w:val="en-US" w:eastAsia="zh-CN"/>
              </w:rPr>
            </w:pPr>
            <w:r>
              <w:rPr>
                <w:rFonts w:asciiTheme="majorEastAsia" w:eastAsiaTheme="majorEastAsia" w:hAnsiTheme="majorEastAsia" w:cstheme="majorEastAsia" w:hint="eastAsia"/>
                <w:b/>
                <w:color w:val="auto"/>
                <w:sz w:val="30"/>
                <w:szCs w:val="30"/>
                <w:highlight w:val="none"/>
                <w:vertAlign w:val="baseline"/>
                <w:lang w:val="en-US" w:eastAsia="zh-CN"/>
              </w:rPr>
              <w:t>有效期内的身份证扫描件</w:t>
            </w:r>
          </w:p>
        </w:tc>
        <w:tc>
          <w:tcPr>
            <w:tcW w:w="4265" w:type="dxa"/>
          </w:tcPr>
          <w:p>
            <w:pPr>
              <w:spacing w:line="480" w:lineRule="exact"/>
              <w:rPr>
                <w:rFonts w:asciiTheme="majorEastAsia" w:eastAsiaTheme="majorEastAsia" w:hAnsiTheme="majorEastAsia" w:cstheme="majorEastAsia"/>
                <w:b/>
                <w:color w:val="auto"/>
                <w:sz w:val="30"/>
                <w:szCs w:val="30"/>
                <w:highlight w:val="none"/>
                <w:vertAlign w:val="baseline"/>
              </w:rPr>
            </w:pPr>
          </w:p>
        </w:tc>
      </w:tr>
    </w:tbl>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w:t>
      </w:r>
      <w:r>
        <w:rPr>
          <w:rFonts w:asciiTheme="majorEastAsia" w:eastAsiaTheme="majorEastAsia" w:hAnsiTheme="majorEastAsia" w:cstheme="majorEastAsia" w:hint="eastAsia"/>
          <w:color w:val="auto"/>
          <w:szCs w:val="21"/>
          <w:highlight w:val="none"/>
        </w:rPr>
        <w:t>实质性响应条款偏离表</w:t>
      </w:r>
    </w:p>
    <w:tbl>
      <w:tblPr>
        <w:tblStyle w:val="TableNormal"/>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2314"/>
        <w:gridCol w:w="2516"/>
        <w:gridCol w:w="1579"/>
        <w:gridCol w:w="1260"/>
      </w:tblGrid>
      <w:tr>
        <w:tblPrEx>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2314"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采购人要求内容</w:t>
            </w:r>
          </w:p>
        </w:tc>
        <w:tc>
          <w:tcPr>
            <w:tcW w:w="251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投标响应情况</w:t>
            </w:r>
          </w:p>
        </w:tc>
        <w:tc>
          <w:tcPr>
            <w:tcW w:w="1579"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偏离情况</w:t>
            </w:r>
          </w:p>
        </w:tc>
        <w:tc>
          <w:tcPr>
            <w:tcW w:w="1260"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说明</w:t>
            </w:r>
          </w:p>
        </w:tc>
      </w:tr>
      <w:tr>
        <w:tblPrEx>
          <w:tblW w:w="8431" w:type="dxa"/>
          <w:jc w:val="center"/>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2314"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具体以招标文件第</w:t>
            </w:r>
            <w:r>
              <w:rPr>
                <w:rFonts w:asciiTheme="majorEastAsia" w:eastAsiaTheme="majorEastAsia" w:hAnsiTheme="majorEastAsia" w:cstheme="majorEastAsia" w:hint="eastAsia"/>
                <w:color w:val="auto"/>
                <w:kern w:val="0"/>
                <w:szCs w:val="21"/>
                <w:highlight w:val="none"/>
                <w:lang w:val="en-US" w:eastAsia="zh-CN"/>
              </w:rPr>
              <w:t>二</w:t>
            </w:r>
            <w:r>
              <w:rPr>
                <w:rFonts w:asciiTheme="majorEastAsia" w:eastAsiaTheme="majorEastAsia" w:hAnsiTheme="majorEastAsia" w:cstheme="majorEastAsia" w:hint="eastAsia"/>
                <w:color w:val="auto"/>
                <w:kern w:val="0"/>
                <w:szCs w:val="21"/>
                <w:highlight w:val="none"/>
              </w:rPr>
              <w:t>章用户需求书中带“★”的需求项为准。</w:t>
            </w:r>
          </w:p>
        </w:tc>
        <w:tc>
          <w:tcPr>
            <w:tcW w:w="251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579"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260"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r>
    </w:tbl>
    <w:p>
      <w:pPr>
        <w:spacing w:line="4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注：</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 上表所列各项均为不可负偏离条款。</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2.“投标响应”一栏应当详细填写投标人自身响应情况，而不能不合理照搬照抄招实质性条款具体内容。</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4.评审委员会有权对投标响应情况作出判断（作出评审结论）。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5.实质性响应条款“投标响应情况”与投标文件其它内容冲突的，以实质性响应条款“投标响应情况”为准。</w:t>
      </w:r>
    </w:p>
    <w:p>
      <w:pPr>
        <w:rPr>
          <w:rFonts w:asciiTheme="majorEastAsia" w:eastAsiaTheme="majorEastAsia" w:hAnsiTheme="majorEastAsia" w:cstheme="majorEastAsia"/>
          <w:color w:val="auto"/>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四、</w:t>
      </w:r>
      <w:r>
        <w:rPr>
          <w:rFonts w:asciiTheme="majorEastAsia" w:eastAsiaTheme="majorEastAsia" w:hAnsiTheme="majorEastAsia" w:cstheme="majorEastAsia" w:hint="eastAsia"/>
          <w:color w:val="auto"/>
          <w:szCs w:val="28"/>
          <w:highlight w:val="none"/>
        </w:rPr>
        <w:t>政府采购违法行为风险知悉确认书</w:t>
      </w:r>
    </w:p>
    <w:p>
      <w:pPr>
        <w:ind w:firstLine="420" w:firstLineChars="200"/>
        <w:rPr>
          <w:color w:val="auto"/>
          <w:highlight w:val="none"/>
        </w:rPr>
      </w:pPr>
      <w:r>
        <w:rPr>
          <w:rFonts w:hint="eastAsia"/>
          <w:color w:val="auto"/>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color w:val="auto"/>
          <w:highlight w:val="none"/>
        </w:rPr>
      </w:pPr>
      <w:r>
        <w:rPr>
          <w:rFonts w:hint="eastAsia"/>
          <w:color w:val="auto"/>
          <w:highlight w:val="none"/>
        </w:rPr>
        <w:t>一、本公司已充分知悉“隐瞒真实情况，提供虚假资料”的法定情形，相关情形包括但不限于：</w:t>
      </w:r>
    </w:p>
    <w:p>
      <w:pPr>
        <w:ind w:firstLine="420" w:firstLineChars="200"/>
        <w:rPr>
          <w:color w:val="auto"/>
          <w:highlight w:val="none"/>
        </w:rPr>
      </w:pPr>
      <w:r>
        <w:rPr>
          <w:rFonts w:hint="eastAsia"/>
          <w:color w:val="auto"/>
          <w:highlight w:val="none"/>
        </w:rPr>
        <w:t>（一）通过转让或者租借等方式从其他单位获取资格或者资质证书投标的。</w:t>
      </w:r>
    </w:p>
    <w:p>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pPr>
        <w:ind w:firstLine="420" w:firstLineChars="200"/>
        <w:rPr>
          <w:color w:val="auto"/>
          <w:highlight w:val="none"/>
        </w:rPr>
      </w:pPr>
      <w:r>
        <w:rPr>
          <w:rFonts w:hint="eastAsia"/>
          <w:color w:val="auto"/>
          <w:highlight w:val="none"/>
        </w:rPr>
        <w:t>（三）项目负责人或者主要技术人员不是本单位人员的。</w:t>
      </w:r>
    </w:p>
    <w:p>
      <w:pPr>
        <w:ind w:firstLine="420" w:firstLineChars="200"/>
        <w:rPr>
          <w:color w:val="auto"/>
          <w:highlight w:val="none"/>
        </w:rPr>
      </w:pPr>
      <w:r>
        <w:rPr>
          <w:rFonts w:hint="eastAsia"/>
          <w:color w:val="auto"/>
          <w:highlight w:val="none"/>
        </w:rPr>
        <w:t>（四）投标保证金不是从投标供应商基本账户转出的。</w:t>
      </w:r>
    </w:p>
    <w:p>
      <w:pPr>
        <w:ind w:firstLine="420" w:firstLineChars="200"/>
        <w:rPr>
          <w:color w:val="auto"/>
          <w:highlight w:val="none"/>
        </w:rPr>
      </w:pPr>
      <w:r>
        <w:rPr>
          <w:rFonts w:hint="eastAsia"/>
          <w:color w:val="auto"/>
          <w:highlight w:val="none"/>
        </w:rPr>
        <w:t>（五）其他隐瞒真实情况、提供虚假资料的行为。</w:t>
      </w:r>
    </w:p>
    <w:p>
      <w:pPr>
        <w:ind w:firstLine="420" w:firstLineChars="200"/>
        <w:rPr>
          <w:color w:val="auto"/>
          <w:highlight w:val="none"/>
        </w:rPr>
      </w:pPr>
      <w:r>
        <w:rPr>
          <w:rFonts w:hint="eastAsia"/>
          <w:color w:val="auto"/>
          <w:highlight w:val="none"/>
        </w:rPr>
        <w:t>二、本公司已充分知悉“与其他采购参加人串通投标”的法定情形，相关情形包括但不限于：</w:t>
      </w:r>
    </w:p>
    <w:p>
      <w:pPr>
        <w:ind w:firstLine="420" w:firstLineChars="200"/>
        <w:rPr>
          <w:color w:val="auto"/>
          <w:highlight w:val="none"/>
        </w:rPr>
      </w:pPr>
      <w:r>
        <w:rPr>
          <w:rFonts w:hint="eastAsia"/>
          <w:color w:val="auto"/>
          <w:highlight w:val="none"/>
        </w:rPr>
        <w:t>（一）投标供应商之间相互约定给予未中标的供应商利益补偿。</w:t>
      </w:r>
    </w:p>
    <w:p>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pPr>
        <w:ind w:firstLine="420" w:firstLineChars="200"/>
        <w:rPr>
          <w:color w:val="auto"/>
          <w:highlight w:val="none"/>
        </w:rPr>
      </w:pPr>
      <w:r>
        <w:rPr>
          <w:rFonts w:hint="eastAsia"/>
          <w:color w:val="auto"/>
          <w:highlight w:val="none"/>
        </w:rPr>
        <w:t>（四）不同投标供应商的投标文件或部分投标文件相互混装。</w:t>
      </w:r>
    </w:p>
    <w:p>
      <w:pPr>
        <w:ind w:firstLine="420" w:firstLineChars="200"/>
        <w:rPr>
          <w:color w:val="auto"/>
          <w:highlight w:val="none"/>
        </w:rPr>
      </w:pPr>
      <w:r>
        <w:rPr>
          <w:rFonts w:hint="eastAsia"/>
          <w:color w:val="auto"/>
          <w:highlight w:val="none"/>
        </w:rPr>
        <w:t>（五）不同投标供应商的投标文件内容存在非正常一致。</w:t>
      </w:r>
    </w:p>
    <w:p>
      <w:pPr>
        <w:ind w:firstLine="420" w:firstLineChars="200"/>
        <w:rPr>
          <w:color w:val="auto"/>
          <w:highlight w:val="none"/>
        </w:rPr>
      </w:pPr>
      <w:r>
        <w:rPr>
          <w:rFonts w:hint="eastAsia"/>
          <w:color w:val="auto"/>
          <w:highlight w:val="none"/>
        </w:rPr>
        <w:t>（六）由同一单位工作人员为两家以上（含两家）供应商进行同一项投标活动的。</w:t>
      </w:r>
    </w:p>
    <w:p>
      <w:pPr>
        <w:ind w:firstLine="420" w:firstLineChars="200"/>
        <w:rPr>
          <w:color w:val="auto"/>
          <w:highlight w:val="none"/>
        </w:rPr>
      </w:pPr>
      <w:r>
        <w:rPr>
          <w:rFonts w:hint="eastAsia"/>
          <w:color w:val="auto"/>
          <w:highlight w:val="none"/>
        </w:rPr>
        <w:t>（七）不同投标人的投标报价呈规律性差异。</w:t>
      </w:r>
    </w:p>
    <w:p>
      <w:pPr>
        <w:ind w:firstLine="420" w:firstLineChars="200"/>
        <w:rPr>
          <w:color w:val="auto"/>
          <w:highlight w:val="none"/>
        </w:rPr>
      </w:pPr>
      <w:r>
        <w:rPr>
          <w:rFonts w:hint="eastAsia"/>
          <w:color w:val="auto"/>
          <w:highlight w:val="none"/>
        </w:rPr>
        <w:t>（八）不同投标人的投标保证金从同一单位或者个人的账户转出。</w:t>
      </w:r>
    </w:p>
    <w:p>
      <w:pPr>
        <w:ind w:firstLine="420" w:firstLineChars="200"/>
        <w:rPr>
          <w:color w:val="auto"/>
          <w:highlight w:val="none"/>
        </w:rPr>
      </w:pPr>
      <w:r>
        <w:rPr>
          <w:rFonts w:hint="eastAsia"/>
          <w:color w:val="auto"/>
          <w:highlight w:val="none"/>
        </w:rPr>
        <w:t>（九）主管部门依照法律、法规认定的其他情形。</w:t>
      </w:r>
    </w:p>
    <w:p>
      <w:pPr>
        <w:ind w:firstLine="420" w:firstLineChars="200"/>
        <w:rPr>
          <w:color w:val="auto"/>
          <w:highlight w:val="none"/>
        </w:rPr>
      </w:pPr>
      <w:r>
        <w:rPr>
          <w:rFonts w:hint="eastAsia"/>
          <w:color w:val="auto"/>
          <w:highlight w:val="none"/>
        </w:rPr>
        <w:t>三、本公司已充分知悉下列情形所对应的法律风险，并在投标前已对相关风险事项进行排查。</w:t>
      </w:r>
    </w:p>
    <w:p>
      <w:pPr>
        <w:ind w:firstLine="420" w:firstLineChars="200"/>
        <w:rPr>
          <w:color w:val="auto"/>
          <w:highlight w:val="none"/>
        </w:rPr>
      </w:pPr>
      <w:r>
        <w:rPr>
          <w:rFonts w:hint="eastAsia"/>
          <w:color w:val="auto"/>
          <w:highlight w:val="none"/>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highlight w:val="none"/>
        </w:rPr>
      </w:pPr>
      <w:r>
        <w:rPr>
          <w:rFonts w:hint="eastAsia"/>
          <w:color w:val="auto"/>
          <w:highlight w:val="none"/>
        </w:rPr>
        <w:t>（三）对于涉及安全生产、特种作业、抢险救灾、防疫等政府采购项目，供应商实施提供虚假资料、串通投标等违法行为的，主管部门将依法从严处理。</w:t>
      </w:r>
    </w:p>
    <w:p>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color w:val="auto"/>
          <w:highlight w:val="none"/>
        </w:rPr>
      </w:pPr>
      <w:r>
        <w:rPr>
          <w:rFonts w:hint="eastAsia"/>
          <w:color w:val="auto"/>
          <w:highlight w:val="none"/>
        </w:rPr>
        <w:t>四、本公司已充分知悉政府采购违法、违规行为的法律后果。</w:t>
      </w:r>
    </w:p>
    <w:p>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highlight w:val="none"/>
        </w:rPr>
      </w:pPr>
      <w:r>
        <w:rPr>
          <w:rFonts w:hint="eastAsia"/>
          <w:color w:val="auto"/>
          <w:highlight w:val="none"/>
        </w:rPr>
        <w:t>以下文字请投标供应商抄写并确认：“本公司已仔细阅读《政府采购违法行为风险知悉确认书》，充分知悉违法行为的法律后果，并承诺将严谨、诚信、依法依规参与政府采购活动”。</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color w:val="auto"/>
          <w:highlight w:val="none"/>
        </w:rPr>
      </w:pPr>
      <w:r>
        <w:rPr>
          <w:rFonts w:hint="eastAsia"/>
          <w:color w:val="auto"/>
          <w:highlight w:val="none"/>
        </w:rPr>
        <w:t>负责人/投标授权代表签名：</w:t>
      </w:r>
    </w:p>
    <w:p>
      <w:pPr>
        <w:ind w:firstLine="420" w:firstLineChars="200"/>
        <w:rPr>
          <w:color w:val="auto"/>
          <w:highlight w:val="none"/>
        </w:rPr>
      </w:pPr>
      <w:r>
        <w:rPr>
          <w:rFonts w:hint="eastAsia"/>
          <w:color w:val="auto"/>
          <w:highlight w:val="none"/>
        </w:rPr>
        <w:t>知悉人（公章）：</w:t>
      </w:r>
    </w:p>
    <w:p>
      <w:pPr>
        <w:ind w:firstLine="420" w:firstLineChars="200"/>
        <w:rPr>
          <w:rFonts w:eastAsiaTheme="minorEastAsia"/>
          <w:color w:val="auto"/>
          <w:highlight w:val="none"/>
        </w:rPr>
      </w:pPr>
      <w:r>
        <w:rPr>
          <w:rFonts w:hint="eastAsia"/>
          <w:color w:val="auto"/>
          <w:highlight w:val="none"/>
        </w:rPr>
        <w:t>日期：</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五、</w:t>
      </w:r>
      <w:r>
        <w:rPr>
          <w:rFonts w:asciiTheme="majorEastAsia" w:eastAsiaTheme="majorEastAsia" w:hAnsiTheme="majorEastAsia" w:cstheme="majorEastAsia" w:hint="eastAsia"/>
          <w:color w:val="auto"/>
          <w:szCs w:val="28"/>
          <w:highlight w:val="none"/>
        </w:rPr>
        <w:t>技术部分内容</w:t>
      </w:r>
    </w:p>
    <w:p>
      <w:pPr>
        <w:pStyle w:val="NormalIndent"/>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numPr>
          <w:ilvl w:val="0"/>
          <w:numId w:val="12"/>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实施方案</w:t>
      </w:r>
    </w:p>
    <w:p>
      <w:pPr>
        <w:pStyle w:val="Heading4"/>
        <w:keepNext w:val="0"/>
        <w:keepLines w:val="0"/>
        <w:numPr>
          <w:ilvl w:val="0"/>
          <w:numId w:val="12"/>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项目重点难点分析、应对措施及相关的合理化建议</w:t>
      </w:r>
    </w:p>
    <w:p>
      <w:pPr>
        <w:pStyle w:val="Heading4"/>
        <w:keepNext w:val="0"/>
        <w:keepLines w:val="0"/>
        <w:numPr>
          <w:ilvl w:val="0"/>
          <w:numId w:val="12"/>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质量（完成时间、安全、环保）保障措施及方案</w:t>
      </w:r>
    </w:p>
    <w:p>
      <w:pPr>
        <w:pStyle w:val="Heading4"/>
        <w:keepNext w:val="0"/>
        <w:keepLines w:val="0"/>
        <w:numPr>
          <w:ilvl w:val="0"/>
          <w:numId w:val="12"/>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项目完成（服务期满）后的服务承诺</w:t>
      </w:r>
    </w:p>
    <w:p>
      <w:pPr>
        <w:rPr>
          <w:rFonts w:asciiTheme="majorEastAsia" w:eastAsiaTheme="majorEastAsia" w:hAnsiTheme="majorEastAsia" w:cstheme="majorEastAsia"/>
          <w:color w:val="auto"/>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六</w:t>
      </w:r>
      <w:r>
        <w:rPr>
          <w:rFonts w:asciiTheme="majorEastAsia" w:eastAsiaTheme="majorEastAsia" w:hAnsiTheme="majorEastAsia" w:cstheme="majorEastAsia" w:hint="eastAsia"/>
          <w:color w:val="auto"/>
          <w:szCs w:val="28"/>
          <w:highlight w:val="none"/>
        </w:rPr>
        <w:t>、商务部分内容</w:t>
      </w:r>
    </w:p>
    <w:p>
      <w:pPr>
        <w:pStyle w:val="NormalIndent"/>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同类项目经验</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履约评价</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投标人获奖情况</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拟安排的项目团队成员</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管理体系认证</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服务网点</w:t>
      </w:r>
    </w:p>
    <w:p>
      <w:pPr>
        <w:pStyle w:val="Heading4"/>
        <w:keepNext w:val="0"/>
        <w:keepLines w:val="0"/>
        <w:numPr>
          <w:ilvl w:val="0"/>
          <w:numId w:val="13"/>
        </w:numPr>
        <w:spacing w:before="0" w:after="0" w:line="440" w:lineRule="exact"/>
        <w:ind w:left="0" w:firstLine="420" w:leftChars="0" w:firstLineChars="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其它招标文件要求的内容及投标人认为需要补充的内容</w:t>
      </w:r>
    </w:p>
    <w:p>
      <w:pPr>
        <w:jc w:val="left"/>
        <w:rPr>
          <w:rFonts w:asciiTheme="majorEastAsia" w:eastAsiaTheme="majorEastAsia" w:hAnsiTheme="majorEastAsia" w:cstheme="majorEastAsia"/>
          <w:b/>
          <w:bCs/>
          <w:color w:val="auto"/>
          <w:kern w:val="0"/>
          <w:sz w:val="24"/>
          <w:szCs w:val="20"/>
          <w:highlight w:val="none"/>
        </w:rPr>
      </w:pPr>
    </w:p>
    <w:p>
      <w:pPr>
        <w:rPr>
          <w:rFonts w:ascii="微软雅黑" w:eastAsia="微软雅黑" w:hAnsi="微软雅黑" w:cs="微软雅黑"/>
          <w:color w:val="auto"/>
          <w:sz w:val="32"/>
          <w:szCs w:val="32"/>
          <w:highlight w:val="none"/>
        </w:rPr>
      </w:pPr>
      <w:r>
        <w:rPr>
          <w:rFonts w:ascii="微软雅黑" w:eastAsia="微软雅黑" w:hAnsi="微软雅黑" w:cs="微软雅黑" w:hint="eastAsia"/>
          <w:color w:val="auto"/>
          <w:sz w:val="32"/>
          <w:szCs w:val="32"/>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第四章  合同条款及格式</w:t>
      </w:r>
    </w:p>
    <w:p>
      <w:pPr>
        <w:spacing w:line="39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（仅供参考，项目具体要求以用户需求书为准）</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甲方：  </w:t>
      </w:r>
      <w:r>
        <w:rPr>
          <w:rFonts w:asciiTheme="majorEastAsia" w:eastAsiaTheme="majorEastAsia" w:hAnsiTheme="majorEastAsia" w:cstheme="majorEastAsia" w:hint="eastAsia"/>
          <w:b/>
          <w:bCs/>
          <w:color w:val="auto"/>
          <w:szCs w:val="21"/>
          <w:highlight w:val="none"/>
        </w:rPr>
        <w:t xml:space="preserve"> </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乙方：                                          </w:t>
      </w:r>
    </w:p>
    <w:p>
      <w:pPr>
        <w:spacing w:line="380" w:lineRule="exact"/>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根据深圳交易咨询集团有限公司</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号招标项目的投标结果，由</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单位为中标方。按照《中华人民共和国民法典》和《深圳经济特区政府采购条例》，经深圳市</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（以下简称甲方）和</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单位（以下简称乙方）协商，就甲方委托乙方承担</w:t>
      </w:r>
      <w:r>
        <w:rPr>
          <w:rFonts w:asciiTheme="majorEastAsia" w:eastAsiaTheme="majorEastAsia" w:hAnsiTheme="majorEastAsia" w:cstheme="majorEastAsia" w:hint="eastAsia"/>
          <w:b/>
          <w:bCs/>
          <w:snapToGrid w:val="0"/>
          <w:color w:val="auto"/>
          <w:kern w:val="0"/>
          <w:szCs w:val="21"/>
          <w:highlight w:val="none"/>
          <w:u w:val="single"/>
          <w:lang w:val="zh-CN"/>
        </w:rPr>
        <w:t xml:space="preserve">                      服务项目</w:t>
      </w:r>
      <w:r>
        <w:rPr>
          <w:rFonts w:asciiTheme="majorEastAsia" w:eastAsiaTheme="majorEastAsia" w:hAnsiTheme="majorEastAsia" w:cstheme="majorEastAsia" w:hint="eastAsia"/>
          <w:color w:val="auto"/>
          <w:szCs w:val="21"/>
          <w:highlight w:val="none"/>
        </w:rPr>
        <w:t>，达成以下合同条款：</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第一条　项目概况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项目内容：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服务时间：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合同价款：合同总价为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元，含一切税、费。</w:t>
      </w:r>
      <w:r>
        <w:rPr>
          <w:rFonts w:asciiTheme="majorEastAsia" w:eastAsiaTheme="majorEastAsia" w:hAnsiTheme="majorEastAsia" w:cstheme="majorEastAsia" w:hint="eastAsia"/>
          <w:color w:val="auto"/>
          <w:highlight w:val="none"/>
        </w:rPr>
        <w:t>本合同总价包括</w:t>
      </w:r>
      <w:r>
        <w:rPr>
          <w:rFonts w:asciiTheme="majorEastAsia" w:eastAsiaTheme="majorEastAsia" w:hAnsiTheme="majorEastAsia" w:cstheme="majorEastAsia" w:hint="eastAsia"/>
          <w:color w:val="auto"/>
          <w:szCs w:val="21"/>
          <w:highlight w:val="none"/>
        </w:rPr>
        <w:t>乙方为实施本项目荷载试验所需的设备仪器费、车辆租赁费、</w:t>
      </w:r>
      <w:r>
        <w:rPr>
          <w:rFonts w:asciiTheme="majorEastAsia" w:eastAsiaTheme="majorEastAsia" w:hAnsiTheme="majorEastAsia" w:cstheme="majorEastAsia" w:hint="eastAsia"/>
          <w:color w:val="auto"/>
          <w:highlight w:val="none"/>
        </w:rPr>
        <w:t>服务和技术费用等，为固定不变价格，且不随通货膨胀的影响而波动。合同总价包括</w:t>
      </w:r>
      <w:r>
        <w:rPr>
          <w:rFonts w:asciiTheme="majorEastAsia" w:eastAsiaTheme="majorEastAsia" w:hAnsiTheme="majorEastAsia" w:cstheme="majorEastAsia" w:hint="eastAsia"/>
          <w:color w:val="auto"/>
          <w:szCs w:val="21"/>
          <w:highlight w:val="none"/>
        </w:rPr>
        <w:t>乙方</w:t>
      </w:r>
      <w:r>
        <w:rPr>
          <w:rFonts w:asciiTheme="majorEastAsia" w:eastAsiaTheme="majorEastAsia" w:hAnsiTheme="majorEastAsia" w:cstheme="majorEastAsia" w:hint="eastAsia"/>
          <w:color w:val="auto"/>
          <w:highlight w:val="none"/>
        </w:rPr>
        <w:t>履行本合同义务所发生的一切费用和支出和以各种方式寄送技术资料到甲方办公室所发生的费用。如发生本合同规定的不可抗力，合同总价可经双方友好协商予以调整。</w:t>
      </w:r>
    </w:p>
    <w:p>
      <w:pPr>
        <w:pStyle w:val="Normal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支付方式：分期支付。</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第二条  服务范围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 其他合同未明示的相关工作。</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第三条  时间要求及阶段成果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天内完成项目实施的准备工作，包括工作大纲和试验细则的编制；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第四条  咨询服务资料归属</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1、所有提交给甲方的咨询服务文件及相关的资料的最后文本，包括为履行技术咨询服务范围所编制的图纸、计划和证明资料等，都属于甲方的财产，</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方在提交给甲方之前应将上述资料进行整理归类和编制索引。</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方未经甲方的书面同意，不得将上述资料用于与本咨询服务项目之外的任何项目。</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3、合同履行完毕，未经甲方的书面同意，</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方不得保存在履行合同过程中所获得或接触到的任何</w:t>
      </w:r>
      <w:r>
        <w:rPr>
          <w:rFonts w:asciiTheme="majorEastAsia" w:eastAsiaTheme="majorEastAsia" w:hAnsiTheme="majorEastAsia" w:cstheme="majorEastAsia" w:hint="eastAsia"/>
          <w:color w:val="auto"/>
          <w:szCs w:val="21"/>
          <w:highlight w:val="none"/>
        </w:rPr>
        <w:t>内部数据资料。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第五条  甲方的义务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1、负责与本咨询服务项目有关的第三方的协调，提供开展咨询服务工作的外部条件。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2、向乙方提供与本项目咨询服务工作有关的资料。</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3、负责组织有关专家对项目试验成果评估报告的评审。</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第六条　乙方的义务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１、应按照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号招标文件、乙方投标文件要求按期完成本项目咨询服务工作。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2、负责组织项目的实施，保证项目进度和成桥荷载试验工作质量，并满足交通部交工验收相关标准。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highlight w:val="none"/>
        </w:rPr>
        <w:t>向甲方提交检测资料等各</w:t>
      </w:r>
      <w:r>
        <w:rPr>
          <w:rFonts w:asciiTheme="majorEastAsia" w:eastAsiaTheme="majorEastAsia" w:hAnsiTheme="majorEastAsia" w:cstheme="majorEastAsia" w:hint="eastAsia"/>
          <w:color w:val="auto"/>
          <w:highlight w:val="none"/>
          <w:u w:val="single"/>
        </w:rPr>
        <w:t xml:space="preserve">      </w:t>
      </w:r>
      <w:r>
        <w:rPr>
          <w:rFonts w:asciiTheme="majorEastAsia" w:eastAsiaTheme="majorEastAsia" w:hAnsiTheme="majorEastAsia" w:cstheme="majorEastAsia" w:hint="eastAsia"/>
          <w:color w:val="auto"/>
          <w:highlight w:val="none"/>
        </w:rPr>
        <w:t>套，一套电子版文件。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4、在履行合同期间或合同规定期限内，不得泄露与本合同规定业务活动有关的保密资料。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第七条  甲方的权利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1、有权向乙方询问工作进展情况及相关的内容。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2、有权阐述对具体问题的意见和建议。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3、当甲方认定乙方人员不按合同履行其职责，或与第三人串通给甲方造成经济损失的，甲方有权要求更换人员，直至终止合同并要求乙方承担相应的赔偿责任。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第八条  乙方的权利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1、乙方在本项目服务过程中，如甲方提供的资料不明确时可向甲方提出书面报告。</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2、乙方在本项目服务过程中，有权对第三方提出与本咨询服务业务有关的问题进行核对或查问。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3、乙方在本项目服务过程中，有到项目现场勘察的权利。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第九条  甲方的责任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1、应当履行本合同约定的义务，如有违反则应当承担违约责任，赔偿给乙方造成的损失。</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2、甲方向乙方提出赔偿要求不能成立时，则应补偿由于该赔偿或其他要求所导致乙方的各种费用的支出。</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第十条  乙方的责任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1、乙方的责任期即本合同有效期。如因非乙方的责任造成进度的推迟或延误而超过约定的日期，双方应进一步约定相应延长合同有效期。</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2、乙方的责任期内，应当履行本合同中约定的义务，因乙方的单方过失造成的经济损失，应当向甲方进行赔偿。</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3、乙方对甲方或第三方所提出的问题不能及时核对或答复，导致合同不能全部或部分履行，乙方应承担责任。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4、乙方向甲方提出赔偿要求不能成立时，则应补偿由于该赔偿或其他要求所导致甲方的各种费用的支出。</w:t>
      </w:r>
    </w:p>
    <w:p>
      <w:pPr>
        <w:spacing w:line="380" w:lineRule="exact"/>
        <w:ind w:firstLine="420" w:firstLineChars="200"/>
        <w:rPr>
          <w:rFonts w:asciiTheme="minorEastAsia" w:hAnsiTheme="minorEastAsia"/>
          <w:b/>
          <w:color w:val="auto"/>
          <w:szCs w:val="21"/>
          <w:highlight w:val="none"/>
        </w:rPr>
      </w:pPr>
      <w:r>
        <w:rPr>
          <w:rFonts w:asciiTheme="majorEastAsia" w:eastAsiaTheme="majorEastAsia" w:hAnsiTheme="majorEastAsia" w:cstheme="majorEastAsia" w:hint="eastAsia"/>
          <w:b/>
          <w:bCs/>
          <w:color w:val="auto"/>
          <w:szCs w:val="21"/>
          <w:highlight w:val="none"/>
        </w:rPr>
        <w:t xml:space="preserve">第十一条  </w:t>
      </w:r>
      <w:r>
        <w:rPr>
          <w:rFonts w:asciiTheme="minorEastAsia" w:hAnsiTheme="minorEastAsia" w:hint="eastAsia"/>
          <w:b/>
          <w:color w:val="auto"/>
          <w:szCs w:val="21"/>
          <w:highlight w:val="none"/>
        </w:rPr>
        <w:t>履约保证金</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1、乙方应在签订本合同之日，向甲方或甲方指定的机构提交履约保证金_________元。</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2、如乙方未能履行合同规定的义务，甲方有权从履约保证金中取得补偿。</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3、甲方在乙方履行完毕本合同项下全部义务后______天内无息退还乙方。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第十二条  人员要求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1、参加本项目试验的人员必须具有国家和有关部门规定的相应资质。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 参加本项目的试验人员的配置必须与投标文件中的服务承诺书和试验服务组织实施方案一致。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3、必须以直属试验人员参与本项目服务，不得使用挂靠队伍。</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第十三条  乙方咨询服务工具要求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1、乙方应配备中标项目所需的足够数量的仪器、仪表以及工具等设备。用户不需向乙方提供施工工具和仪器、仪表。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2、乙方在提供服务过程中应自备车辆。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第十四条  保密要求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2、乙方在履行合同过程中所获得或接触到的任何内部数据资料，未经甲方同意，不得向第三方透露。</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3、乙方实施项目的一切程序都应符合国家安全、保密的有关规定和标准。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4、乙方参加项目的有关人员均需同甲方签订保密协议。</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第十五条  验收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1、下列文件的验收分为</w:t>
      </w:r>
      <w:r>
        <w:rPr>
          <w:rFonts w:asciiTheme="majorEastAsia" w:eastAsiaTheme="majorEastAsia" w:hAnsiTheme="majorEastAsia" w:cstheme="majorEastAsia" w:hint="eastAsia"/>
          <w:color w:val="auto"/>
          <w:szCs w:val="21"/>
          <w:highlight w:val="none"/>
          <w:u w:val="single"/>
        </w:rPr>
        <w:t xml:space="preserve">          三</w:t>
      </w:r>
      <w:r>
        <w:rPr>
          <w:rFonts w:asciiTheme="majorEastAsia" w:eastAsiaTheme="majorEastAsia" w:hAnsiTheme="majorEastAsia" w:cstheme="majorEastAsia" w:hint="eastAsia"/>
          <w:color w:val="auto"/>
          <w:szCs w:val="21"/>
          <w:highlight w:val="none"/>
        </w:rPr>
        <w:t>个阶段: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2、其余文件和工作由用户组织有关技术人员根据国家和行业有关规范、规程、标准和用户需求直接验收。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3、验收依据为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号招标文件、乙方投标文件，国家和行业有关规范、规程和标准。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第十六条  付款方式</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2、检测完成并提交评估报告后，甲方向乙方支付合同总价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3、报告通过专家评审后，甲方向乙方支付合同总价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第十七条  争议解决办法</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执行本合同发生的争议，由甲乙双方协商解决。</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第十八条  风险责任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１、乙方应完全地按照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号招标文件的要求和乙方投标文件的承诺完成本项目，出于自身财务、技术、人力等原因导致项目失败的，应承担全部责任。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2、乙方在实施荷载试验过程中应对自身的安全生产负责，若由乙方原因发生的各种事故甲方不承担任何责任。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第十九条  违约责任</w:t>
      </w:r>
    </w:p>
    <w:p>
      <w:pPr>
        <w:pStyle w:val="BodyText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１、因乙方原因，未能按规定时间完成有关工作的，每延误一天，甲方可在支付合同余款中扣除合同价款千分之一。</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2、由于乙方原因造成试验成果质量低劣，不能满足大纲要求时，应继续完善试验工作，其费用由乙方承担。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3、如乙方提供的咨询服务文件不符合质量要求，必须在甲方提出要求后7天内无条件修改，其费用由乙方承担。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第二十条  其他</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1、本合同与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号招标文件、乙方投标文件如有抵触之处，以本合同条款为准。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2、下列文件均为本合同的组成部分：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号招标文件、答疑及补充通知；</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（3）本合同执行中共同签署的补充与修正文件。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本合同一式</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份，甲、乙方双方各执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份，具有同等法律效力。本合同自双方法人代表签字（盖章）认可之日起生效。</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本合同未尽事宜，双方友好协商，达成解决方案，经双方签字后，可作为本合同的有效附件。</w:t>
      </w:r>
    </w:p>
    <w:p>
      <w:pPr>
        <w:spacing w:line="380" w:lineRule="exact"/>
        <w:ind w:firstLine="420" w:firstLineChars="200"/>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甲方：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乙方：</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1890" w:firstLineChars="9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（签章）                                 （签章）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地址：                                地址：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法定代表人：（签章）                   法定代表人：（签章）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开户行：                              开户行：</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人民币帐号：                          人民币帐号：</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联系人：                              联系人：</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电话：                                电话：</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日期：                                日期：</w:t>
      </w:r>
    </w:p>
    <w:p>
      <w:pPr>
        <w:spacing w:line="0" w:lineRule="atLeas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第五章  招标</w:t>
      </w:r>
      <w:r>
        <w:rPr>
          <w:rFonts w:ascii="微软雅黑" w:eastAsia="微软雅黑" w:hAnsi="微软雅黑" w:cs="微软雅黑" w:hint="eastAsia"/>
          <w:b/>
          <w:bCs/>
          <w:color w:val="auto"/>
          <w:sz w:val="32"/>
          <w:szCs w:val="32"/>
          <w:highlight w:val="none"/>
        </w:rPr>
        <w:t>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1、中标方在领取中标通知书时向采购代理机构缴纳招标代理服务费。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2、招标代理服务费以现金、支票或银行汇票形式交付。</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szCs w:val="21"/>
          <w:highlight w:val="none"/>
        </w:rPr>
        <w:t>3、收费标准如下：</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定率收取：</w:t>
      </w:r>
    </w:p>
    <w:p>
      <w:pPr>
        <w:spacing w:line="440" w:lineRule="exact"/>
        <w:ind w:right="-57"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采购代理机构向中标方收取招标代理服务费，收费按差额定率累进法计算收取（经计算低于人民币</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00元的，按</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00元计取），收费标准如下表所</w:t>
      </w:r>
      <w:r>
        <w:rPr>
          <w:rFonts w:asciiTheme="majorEastAsia" w:eastAsiaTheme="majorEastAsia" w:hAnsiTheme="majorEastAsia" w:cstheme="majorEastAsia" w:hint="eastAsia"/>
          <w:color w:val="auto"/>
          <w:szCs w:val="21"/>
          <w:highlight w:val="none"/>
        </w:rPr>
        <w:t>列：</w:t>
      </w:r>
    </w:p>
    <w:tbl>
      <w:tblPr>
        <w:tblStyle w:val="TableNormal"/>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2092"/>
        <w:gridCol w:w="2005"/>
        <w:gridCol w:w="2145"/>
        <w:gridCol w:w="2090"/>
      </w:tblGrid>
      <w:tr>
        <w:tblPrEx>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2092" w:type="dxa"/>
            <w:tcBorders>
              <w:top w:val="single" w:sz="8"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中标金额</w:t>
            </w:r>
          </w:p>
        </w:tc>
        <w:tc>
          <w:tcPr>
            <w:tcW w:w="200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货物招标收费费率</w:t>
            </w:r>
          </w:p>
        </w:tc>
        <w:tc>
          <w:tcPr>
            <w:tcW w:w="214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工程招标收费费率</w:t>
            </w:r>
          </w:p>
        </w:tc>
        <w:tc>
          <w:tcPr>
            <w:tcW w:w="2090"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服务招标收费费率</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100万元以下</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100万元（含）-500万元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0.7%</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500万元（含）-1000万元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0.45%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1000万元（含）-5000万元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0.35%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5000万元（含）-1亿元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0.1%</w:t>
            </w:r>
          </w:p>
        </w:tc>
      </w:tr>
    </w:tbl>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定额收取：</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本项目按定额收取招标代理服务费，收费金额为人民币</w:t>
      </w:r>
      <w:r>
        <w:rPr>
          <w:rFonts w:asciiTheme="majorEastAsia" w:eastAsiaTheme="majorEastAsia" w:hAnsiTheme="majorEastAsia" w:cstheme="majorEastAsia" w:hint="eastAsia"/>
          <w:snapToGrid w:val="0"/>
          <w:color w:val="auto"/>
          <w:kern w:val="0"/>
          <w:szCs w:val="21"/>
          <w:highlight w:val="none"/>
          <w:u w:val="single"/>
        </w:rPr>
        <w:t xml:space="preserve">     </w:t>
      </w:r>
      <w:r>
        <w:rPr>
          <w:rFonts w:asciiTheme="majorEastAsia" w:eastAsiaTheme="majorEastAsia" w:hAnsiTheme="majorEastAsia" w:cstheme="majorEastAsia" w:hint="eastAsia"/>
          <w:snapToGrid w:val="0"/>
          <w:color w:val="auto"/>
          <w:kern w:val="0"/>
          <w:szCs w:val="21"/>
          <w:highlight w:val="none"/>
        </w:rPr>
        <w:t>元。</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第二册  通用条款（公开招标）</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总则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 通用条款说明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1.1采购代理机构发出招标文件通用条款版本，列出深圳市政府采购项目进行招标采购所适用的通用条款内容。如有需要，采购代理机构可以对通用条款增加附录或补充内容。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1.2招标文件分为第一册“专用条款”和第二册“通用条款”。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1.3“专用条款”是对本次采购项目的具体要求，包含投标人资格要求、用户需求书、投标文件格式、附件等内容。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1.4“通用条款”是适用于政府采购项目的基础性条款，具有普遍性和通用性。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 “专用条款”和“通用条款”表述不一致或有冲突时，以“专用条款”为准。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2．招标说明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本项目按照《深圳经济特区政府采购条例》、《深圳经济特区政府采购条例实施细则》等规定，并参考有关法规，通过招标方式确定中标供应商。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3．定义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招标文件中下列术语应解释为：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3.1“采购代理机构”是指接受采购人委托，组织本次采购招标的社会采购代理机构；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3.2“采购人”或“招标人”：指利用财政性资金依法进行政府采购的国家机关、事业单位、团体组织；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3.3“投标人”或“投标方”，即供应商，指参加投标竞争并愿意按照招标文件要求向采购人提供货物、工程或者服务的依法成立的法人、其他组织或者自然人；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3.5“日期”指公历日；</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3.6“合同”指由本次招标所产生的合同或合约文件；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3.7“电子投标文件”指利用</w:t>
      </w:r>
      <w:r>
        <w:rPr>
          <w:rFonts w:ascii="宋体" w:hAnsi="宋体" w:hint="eastAsia"/>
          <w:color w:val="auto"/>
          <w:szCs w:val="21"/>
          <w:highlight w:val="none"/>
        </w:rPr>
        <w:t>利用</w:t>
      </w:r>
      <w:r>
        <w:rPr>
          <w:rFonts w:ascii="宋体" w:hAnsi="宋体" w:hint="eastAsia"/>
          <w:color w:val="auto"/>
          <w:highlight w:val="none"/>
        </w:rPr>
        <w:t>深圳智慧采购平台投标文件制作专用软件（以下简称：投标文件制作软件）制作并</w:t>
      </w:r>
      <w:r>
        <w:rPr>
          <w:rFonts w:ascii="宋体" w:hAnsi="宋体" w:hint="eastAsia"/>
          <w:color w:val="auto"/>
          <w:szCs w:val="21"/>
          <w:highlight w:val="none"/>
        </w:rPr>
        <w:t>加密的投标文件,适用于网上投标；（投标文件制作软件可从</w:t>
      </w:r>
      <w:r>
        <w:rPr>
          <w:rFonts w:hint="eastAsia"/>
          <w:color w:val="auto"/>
          <w:highlight w:val="none"/>
        </w:rPr>
        <w:t>“</w:t>
      </w:r>
      <w:r>
        <w:rPr>
          <w:rFonts w:ascii="宋体" w:hAnsi="宋体" w:hint="eastAsia"/>
          <w:color w:val="auto"/>
          <w:highlight w:val="none"/>
        </w:rPr>
        <w:t>下载地址：</w:t>
      </w:r>
      <w:r>
        <w:rPr>
          <w:color w:val="auto"/>
          <w:highlight w:val="none"/>
        </w:rPr>
        <w:t>http://zfcg.szggzy.com/</w:t>
      </w:r>
      <w:r>
        <w:rPr>
          <w:rFonts w:ascii="宋体" w:hAnsi="宋体" w:hint="eastAsia"/>
          <w:color w:val="auto"/>
          <w:highlight w:val="none"/>
        </w:rPr>
        <w:t>TPBidder/DownLoad/深圳市智慧采购平台投标文件制作专用软件.zip</w:t>
      </w:r>
      <w:r>
        <w:rPr>
          <w:rFonts w:hint="eastAsia"/>
          <w:color w:val="auto"/>
          <w:highlight w:val="none"/>
        </w:rPr>
        <w:t>”</w:t>
      </w:r>
      <w:r>
        <w:rPr>
          <w:rFonts w:ascii="宋体" w:hAnsi="宋体" w:hint="eastAsia"/>
          <w:color w:val="auto"/>
          <w:szCs w:val="21"/>
          <w:highlight w:val="none"/>
        </w:rPr>
        <w:t>下载）</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3.8“网上投标”指通过</w:t>
      </w:r>
      <w:r>
        <w:rPr>
          <w:rFonts w:ascii="宋体" w:hAnsi="宋体" w:hint="eastAsia"/>
          <w:color w:val="auto"/>
          <w:highlight w:val="none"/>
        </w:rPr>
        <w:t>深圳智慧采购平台</w:t>
      </w:r>
      <w:r>
        <w:rPr>
          <w:rFonts w:asciiTheme="majorEastAsia" w:eastAsiaTheme="majorEastAsia" w:hAnsiTheme="majorEastAsia" w:cstheme="majorEastAsia" w:hint="eastAsia"/>
          <w:color w:val="auto"/>
          <w:szCs w:val="21"/>
          <w:highlight w:val="none"/>
        </w:rPr>
        <w:t>网站上传电子投标文件；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3.9招标文件中的标题或题名仅起引导作用，而不应视为对招标文件内容的理解和解释。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 政府采购供应商责任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4.1欢迎诚信、有实力和有社会责任心的供应商参与政府采购事业。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5．投标人参加政府采购的条件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5.1投标人应在投标前到进行注册。《</w:t>
      </w:r>
      <w:r>
        <w:rPr>
          <w:color w:val="auto"/>
          <w:highlight w:val="none"/>
        </w:rPr>
        <w:fldChar w:fldCharType="begin"/>
      </w:r>
      <w:r>
        <w:rPr>
          <w:color w:val="auto"/>
          <w:highlight w:val="none"/>
        </w:rPr>
        <w:instrText xml:space="preserve"> HYPERLINK "http://www.szzfcg.cn/viewer.do?id=2455258" \t "documentViewer2455258" </w:instrText>
      </w:r>
      <w:r>
        <w:rPr>
          <w:color w:val="auto"/>
          <w:highlight w:val="none"/>
        </w:rPr>
        <w:fldChar w:fldCharType="separate"/>
      </w:r>
      <w:r>
        <w:rPr>
          <w:rFonts w:asciiTheme="majorEastAsia" w:eastAsiaTheme="majorEastAsia" w:hAnsiTheme="majorEastAsia" w:cstheme="majorEastAsia" w:hint="eastAsia"/>
          <w:color w:val="auto"/>
          <w:szCs w:val="21"/>
          <w:highlight w:val="none"/>
        </w:rPr>
        <w:t>供应商注册及电子密钥新申请指引</w:t>
      </w:r>
      <w:r>
        <w:rPr>
          <w:rFonts w:asciiTheme="majorEastAsia" w:eastAsiaTheme="majorEastAsia" w:hAnsiTheme="majorEastAsia" w:cstheme="majorEastAsia" w:hint="eastAsia"/>
          <w:color w:val="auto"/>
          <w:szCs w:val="21"/>
          <w:highlight w:val="none"/>
        </w:rPr>
        <w:fldChar w:fldCharType="end"/>
      </w:r>
      <w:r>
        <w:rPr>
          <w:rFonts w:asciiTheme="majorEastAsia" w:eastAsiaTheme="majorEastAsia" w:hAnsiTheme="majorEastAsia" w:cstheme="majorEastAsia" w:hint="eastAsia"/>
          <w:color w:val="auto"/>
          <w:szCs w:val="21"/>
          <w:highlight w:val="none"/>
        </w:rPr>
        <w:t>》详见深圳公共资源交易网（http://www.szggzy.com/）。</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5.2投标人的资格要求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参加本项目的投标人应具备的资格条件详见本项目招标公告中 “投标人资格要求”的内容。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5.3联合体投标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5.3.1　以下有关联合体投标的条款仅适用于允许投标人组成联合体投标的项目。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  由两个或两个以上的自然人、法人或者其他组织可以组成一个联合体，以一个供应商的身份共同投标时，应符合以下原则：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（1）投标联合体各方参加政府采购活动应当具备下列条件：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1）具有独立承担民事责任的能力；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2）有良好的商业信誉和健全的财务会计制度；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3）具有履行合同所必需的设备和专业技术能力；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4）有依法缴纳税收和社会保障资金的良好记录；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5）参加政府采购活动前三年内，在经营活动中没有重大违法记录；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6）法律、行政法规规定的其他条件。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（2）投标联合体各方必须有一方先行注册成深圳市政府采购供应商；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（3）联合体中有同类资质的供应商按照联合体分工承担相同工作的，应当按照资质等级较低的供应商确定资质等级。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（4）是否允许联合体参加投标，应当由采购人和采购代理机构根据项目的实际情况和潜在供应商的数量自主决定，如果决定接受联合体投标则应当在采购公告中明示。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（5）投标人的投标文件及中标后签署的合同协议对联合体各方均具法律约束力；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（6）联合体各方应当签订共同投标协议，明确约定各方拟承担的工作和责任，并将该共同投标协议随投标文件一并递交给采购代理机构；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（7）联合体中标后，联合体各方应当共同与采购人签订合同，就中标项目向采购人承担连带责任；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（9）本通用条款中“投标人”一词亦指联合体各方，专用条款另有规定或说明的除外。</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6．政策导向</w:t>
      </w:r>
    </w:p>
    <w:p>
      <w:pPr>
        <w:spacing w:line="44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440" w:lineRule="exact"/>
        <w:ind w:firstLine="405"/>
        <w:rPr>
          <w:rFonts w:asciiTheme="majorEastAsia" w:eastAsiaTheme="majorEastAsia" w:hAnsiTheme="majorEastAsia" w:cstheme="majorEastAsia"/>
          <w:color w:val="auto"/>
          <w:szCs w:val="21"/>
          <w:highlight w:val="none"/>
          <w:shd w:val="clear" w:color="auto" w:fill="FFFFFF"/>
        </w:rPr>
      </w:pPr>
      <w:r>
        <w:rPr>
          <w:rFonts w:asciiTheme="majorEastAsia" w:eastAsiaTheme="majorEastAsia" w:hAnsiTheme="majorEastAsia" w:cstheme="majorEastAsia" w:hint="eastAsia"/>
          <w:color w:val="auto"/>
          <w:szCs w:val="21"/>
          <w:highlight w:val="none"/>
          <w:shd w:val="clear" w:color="auto" w:fill="FFFFFF"/>
        </w:rPr>
        <w:t xml:space="preserve">6.2 </w:t>
      </w:r>
      <w:r>
        <w:rPr>
          <w:rFonts w:asciiTheme="majorEastAsia" w:eastAsiaTheme="majorEastAsia" w:hAnsiTheme="majorEastAsia" w:cstheme="majorEastAsia" w:hint="eastAsia"/>
          <w:color w:val="auto"/>
          <w:szCs w:val="21"/>
          <w:highlight w:val="none"/>
        </w:rPr>
        <w:t>根据《深圳市人民政府关于印发深圳市贯彻落实守信联合激励和失信联合惩戒制度实施方案的通知》（深府〔2017〕57号）等文件要求，对列入失信“黑名单”的供应商限制参与政府采购。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7. 本项目若涉及采购货物，则合格的货物及相应服务应满足以下要求：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7.1  必须是全新、未使用过的原装合格正品（包括零部件），如安装或配置了软件的，须为正版软件。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7.2  国产的货物及其有关服务必须符合中华人民共和国的设计、制造生产标准及行业标准。招标公告有其他要求的，亦应符合其要求。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7.6  对工期的要求：投标人在投标时对其所投项目应提交交货进度、交货计划等，在合同规定的时间内完工验收。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7.7  投标人必须承担的设备运输、安装调试、验收检测和提供设备操作说明书、图纸等其他相关及类似的义务。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8．投标费用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不论投标结果如何，投标人应承担其编制投标文件与递交投标文件所涉及的一切费用。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9．踏勘现场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9.2投标人及其人员经过采购人的允许，可以进入采购人的项目现场踏勘。若招标文件要求投标人于统一时间地点踏勘现场的，投标人应当按时前往。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9.3采购人必须通过采购代理机构向投标人提供有关现场的资料和数据。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9.4任何人或任何组织在踏勘现场时向投标人提交的任何书面资料或口头承诺，未经采购代理机构在网上发布或书面通知，均作无效处理。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10．招标答疑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10.1招标答疑的目的是澄清、解答投标人在查阅招标文件后或现场踏勘中可能提出的与投标有关的疑问或询问。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10.2投标人如对招标文件内容有疑问，必须在招标文件规定的答疑截止时间前以网上提问形式提交采购代理机构。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10.3采购代理机构对疑问所做出的澄清和解答，以书面答复（包括网站发布信息）为准。答疑纪要的有效性规定按照本通用条款第13.3、13.4款规定执行。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10.5未参与招标答疑不作为否定投标人资格的理由。</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招标文件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11．招标文件的编制与组成</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11.1招标文件除以下内容外，采购代理机构在招标（或谈判）期间发出的答疑、澄清或修改等相关公告或通知内容，均是招标文件的组成部分，对投标人起约束作用；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招标文件包括下列内容：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第一册  专用条款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关键信息</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第一章 </w:t>
      </w:r>
      <w:r>
        <w:rPr>
          <w:rFonts w:asciiTheme="majorEastAsia" w:eastAsiaTheme="majorEastAsia" w:hAnsiTheme="majorEastAsia" w:cstheme="majorEastAsia" w:hint="eastAsia"/>
          <w:bCs/>
          <w:color w:val="auto"/>
          <w:szCs w:val="21"/>
          <w:highlight w:val="none"/>
        </w:rPr>
        <w:t xml:space="preserve"> 招标公告</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用户需求书</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投标文件格式、附件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合同条款及格式</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第五章  招标代理服</w:t>
      </w:r>
      <w:r>
        <w:rPr>
          <w:rFonts w:asciiTheme="majorEastAsia" w:eastAsiaTheme="majorEastAsia" w:hAnsiTheme="majorEastAsia" w:cstheme="majorEastAsia" w:hint="eastAsia"/>
          <w:color w:val="auto"/>
          <w:szCs w:val="21"/>
          <w:highlight w:val="none"/>
        </w:rPr>
        <w:t>务费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第二册  通用条款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第一</w:t>
      </w:r>
      <w:r>
        <w:rPr>
          <w:rFonts w:asciiTheme="majorEastAsia" w:eastAsiaTheme="majorEastAsia" w:hAnsiTheme="majorEastAsia" w:cstheme="majorEastAsia" w:hint="eastAsia"/>
          <w:bCs/>
          <w:color w:val="auto"/>
          <w:szCs w:val="21"/>
          <w:highlight w:val="none"/>
        </w:rPr>
        <w:t>章  总则</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招标文件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投标文件的编制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投标文件的递交</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第五章  开标</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第六章  评标要求</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第七章  评标程序及评标方法</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第八章  定标及公示</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第九章  公开招标失败的后续处理</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第十章  合同的授予与备案</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第十一章</w:t>
      </w:r>
      <w:r>
        <w:rPr>
          <w:rFonts w:asciiTheme="majorEastAsia" w:eastAsiaTheme="majorEastAsia" w:hAnsiTheme="majorEastAsia" w:cstheme="majorEastAsia" w:hint="eastAsia"/>
          <w:color w:val="auto"/>
          <w:szCs w:val="21"/>
          <w:highlight w:val="none"/>
        </w:rPr>
        <w:t xml:space="preserve">  质疑处理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12．招标文件的澄清</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采购代理机构网站公开发布方式）答复或发送给所有投标人。澄清纪要作为招标文件的组成部分，对投标人起约束作用；</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12.2对于没有提出澄清又参与了该项目投标的供应商将被视为完全认同该招标文件（含澄清纪要），投标截止期后不再受理针对招标文件的相关质疑或投诉。</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12.3 对招标文件中描述有歧意或前后不一致的地方，评审委员会有权进行评判，但对同一条款的评判应适用于每个投标人。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13．招标文件的修改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13.1招标文件发出后，在投标截止日期前任何时候，确需要变更招标内容的，采购代理机构可主动或在解答投标人提出的澄清问题时对招标文件进行修改；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13.2招标文件的修改以书面形式（包括网站公开发布方式）发送给所有投标人，招标文件的修改内容作为招标文件的组成部分，并具有约束力。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投标文件的编制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14．投标文件的语言及度量单位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14.2 除技术规范另有规定外，投标文件使用的度量单位，均采用中华人民共和国法定计量单位。</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15．投标文件的组成</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具体内容请详见本项目</w:t>
      </w:r>
      <w:r>
        <w:rPr>
          <w:rFonts w:asciiTheme="majorEastAsia" w:eastAsiaTheme="majorEastAsia" w:hAnsiTheme="majorEastAsia" w:cstheme="majorEastAsia" w:hint="eastAsia"/>
          <w:b/>
          <w:bCs/>
          <w:color w:val="auto"/>
          <w:szCs w:val="21"/>
          <w:highlight w:val="none"/>
        </w:rPr>
        <w:t>招标文件第一册“专用条款”</w:t>
      </w:r>
      <w:r>
        <w:rPr>
          <w:rFonts w:asciiTheme="majorEastAsia" w:eastAsiaTheme="majorEastAsia" w:hAnsiTheme="majorEastAsia" w:cstheme="majorEastAsia" w:hint="eastAsia"/>
          <w:b/>
          <w:color w:val="auto"/>
          <w:szCs w:val="21"/>
          <w:highlight w:val="none"/>
        </w:rPr>
        <w:t>的相关内容。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16．投标文件格式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投标文件包括本通用条款第15条中规定的内容。如招标文件提供了投标文件格式，则</w:t>
      </w:r>
      <w:r>
        <w:rPr>
          <w:rFonts w:asciiTheme="majorEastAsia" w:eastAsiaTheme="majorEastAsia" w:hAnsiTheme="majorEastAsia" w:cstheme="majorEastAsia" w:hint="eastAsia"/>
          <w:b/>
          <w:bCs/>
          <w:color w:val="auto"/>
          <w:szCs w:val="21"/>
          <w:highlight w:val="none"/>
        </w:rPr>
        <w:t>投标人提交的投标文件应毫无例外地使用招标文件所提供的相应格式</w:t>
      </w:r>
      <w:r>
        <w:rPr>
          <w:rFonts w:asciiTheme="majorEastAsia" w:eastAsiaTheme="majorEastAsia" w:hAnsiTheme="majorEastAsia" w:cstheme="majorEastAsia" w:hint="eastAsia"/>
          <w:color w:val="auto"/>
          <w:szCs w:val="21"/>
          <w:highlight w:val="none"/>
        </w:rPr>
        <w:t>（表格可以按同样格式扩展）。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17．投标货币</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本项目的投标应以人民币计。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18．证明投标文件投标技术方案的合格性和符合招标文件规定的文件要求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18.1 投标人应提交证明文件证明其投标技术方案项下的货物、工程和服务的合格性符合招标文件规定。该投标技术方案及其证明文件作为投标文件的一部分。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18.2.1主要技术指标和性能的详细说明。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18.2.2投标产品从采购人开始使用至招标文件中规定的周期内正常、连续地使用所必须的备件和专用工具清单，包括备件和专用工具的货源及现行价格。</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18.3相关资料不符合18.2款要求的，评审委员会有权认定为投标技术方案不合格响应，其相关分数予以扣减或作投标无效处理。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18.5为保证公平公正，除非另有规定或说明，投标人对同一项目投标时，不得同时提供两套或两套以上的投标方案。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19．投标文件其他证明文件的要求</w:t>
      </w:r>
    </w:p>
    <w:p>
      <w:pPr>
        <w:rPr>
          <w:rFonts w:ascii="宋体" w:hAnsi="宋体" w:cs="宋体"/>
          <w:color w:val="auto"/>
          <w:szCs w:val="21"/>
          <w:highlight w:val="none"/>
        </w:rPr>
      </w:pPr>
      <w:r>
        <w:rPr>
          <w:rFonts w:asciiTheme="majorEastAsia" w:eastAsiaTheme="majorEastAsia" w:hAnsiTheme="majorEastAsia" w:cstheme="majorEastAsia" w:hint="eastAsia"/>
          <w:color w:val="auto"/>
          <w:szCs w:val="21"/>
          <w:highlight w:val="none"/>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r>
        <w:rPr>
          <w:rFonts w:ascii="宋体" w:hAnsi="宋体" w:cs="宋体" w:hint="eastAsia"/>
          <w:color w:val="auto"/>
          <w:szCs w:val="21"/>
          <w:highlight w:val="none"/>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（1）被质疑供应商未能在合理时间内提供资料原件核对，且不能合理说明的；</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（2）被质疑供应商提供的资料原件与投标文件资料不一致的；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（3）被质</w:t>
      </w:r>
      <w:r>
        <w:rPr>
          <w:rFonts w:asciiTheme="majorEastAsia" w:eastAsiaTheme="majorEastAsia" w:hAnsiTheme="majorEastAsia" w:cstheme="majorEastAsia" w:hint="eastAsia"/>
          <w:color w:val="auto"/>
          <w:szCs w:val="21"/>
          <w:highlight w:val="none"/>
        </w:rPr>
        <w:t>疑供应商投标文件资料信息与在相应官方查询渠道查询到的信息不一致，且不能合理说明的。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20．投标有效期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20.1 投标有效期为从投标截止之日算起的日历天数，具体见专用条款中投标有效期的天数要求。在此期限内，所有投标文件均保持有效；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20.3 中标单位的投标书有效期，截止于完成本招标文件规定的全部项目内容，并通过竣工验收及保修结束。</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 xml:space="preserve">21．关于投标保证金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21.1 </w:t>
      </w:r>
      <w:r>
        <w:rPr>
          <w:rFonts w:asciiTheme="majorEastAsia" w:eastAsiaTheme="majorEastAsia" w:hAnsiTheme="majorEastAsia" w:cstheme="majorEastAsia" w:hint="eastAsia"/>
          <w:color w:val="auto"/>
          <w:highlight w:val="none"/>
        </w:rPr>
        <w:t>根据《深圳市财政局</w:t>
      </w:r>
      <w:r>
        <w:rPr>
          <w:rFonts w:asciiTheme="majorEastAsia" w:eastAsiaTheme="majorEastAsia" w:hAnsiTheme="majorEastAsia" w:cstheme="majorEastAsia" w:hint="eastAsia"/>
          <w:color w:val="auto"/>
          <w:szCs w:val="21"/>
          <w:highlight w:val="none"/>
        </w:rPr>
        <w:t>关于</w:t>
      </w:r>
      <w:r>
        <w:rPr>
          <w:rFonts w:asciiTheme="majorEastAsia" w:eastAsiaTheme="majorEastAsia" w:hAnsiTheme="majorEastAsia" w:cstheme="majorEastAsia" w:hint="eastAsia"/>
          <w:color w:val="auto"/>
          <w:highlight w:val="none"/>
        </w:rPr>
        <w:t>明确政府采购保证金管理工作的通知》（深财购[2019]42号）文的规定，本项目不收取投标保证金。</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22．投标人的替代方案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23．投标文件的制作要求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23.1</w:t>
      </w:r>
      <w:r>
        <w:rPr>
          <w:rFonts w:ascii="宋体" w:hAnsi="宋体" w:cs="宋体" w:hint="eastAsia"/>
          <w:color w:val="auto"/>
          <w:highlight w:val="none"/>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http://zfcg.szggzy.com/TPBidder/DownLoad/深圳市智慧采购平台投标文件制作专用软件.zip】</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23.2投标人在使用《投标书编制软件》编制投标书时须注意：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23.2.2不能用非本公司的电子密钥加密本公司的投标文件，或者用其它公司的登录用户上传本公司的投标文件。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23.2.3要求用《投标书编制软件》编制投标书的包，不能用其它方式编制投标书。编制投标文件时，电脑须连通互联网。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23.2.4投标文件不能带病毒。采购代理机构将用专业杀毒软件对投标文件进行病毒检测，如果这两种软件均报告发现病毒，则采购代理机构认为该投标文件带病毒。</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23.2.5完整填写“投标关键信息”，如下图所示：</w:t>
      </w:r>
    </w:p>
    <w:p>
      <w:pPr>
        <w:jc w:val="center"/>
        <w:rPr>
          <w:rFonts w:ascii="宋体" w:hAnsi="宋体"/>
          <w:color w:val="auto"/>
          <w:highlight w:val="none"/>
        </w:rPr>
      </w:pPr>
      <w:r>
        <w:rPr>
          <w:rFonts w:ascii="宋体" w:hAnsi="宋体"/>
          <w:color w:val="auto"/>
          <w:highlight w:val="none"/>
        </w:rPr>
        <w:drawing>
          <wp:inline distT="0" distB="0" distL="114300" distR="114300">
            <wp:extent cx="4946015" cy="2550160"/>
            <wp:effectExtent l="0" t="0" r="6985" b="2540"/>
            <wp:docPr id="1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形用户界面, 应用程序&#10;&#10;描述已自动生成"/>
                    <pic:cNvPicPr>
                      <a:picLocks noChangeAspect="1"/>
                    </pic:cNvPicPr>
                  </pic:nvPicPr>
                  <pic:blipFill>
                    <a:blip xmlns:r="http://schemas.openxmlformats.org/officeDocument/2006/relationships" r:embed="rId9"/>
                    <a:stretch>
                      <a:fillRect/>
                    </a:stretch>
                  </pic:blipFill>
                  <pic:spPr>
                    <a:xfrm>
                      <a:off x="0" y="0"/>
                      <a:ext cx="4946015" cy="2550160"/>
                    </a:xfrm>
                    <a:prstGeom prst="rect">
                      <a:avLst/>
                    </a:prstGeom>
                    <a:noFill/>
                    <a:ln>
                      <a:noFill/>
                    </a:ln>
                  </pic:spPr>
                </pic:pic>
              </a:graphicData>
            </a:graphic>
          </wp:inline>
        </w:drawing>
      </w:r>
    </w:p>
    <w:p>
      <w:pPr>
        <w:ind w:firstLine="412" w:firstLineChars="196"/>
        <w:rPr>
          <w:rFonts w:ascii="宋体" w:hAnsi="宋体"/>
          <w:b/>
          <w:color w:val="auto"/>
          <w:highlight w:val="none"/>
        </w:rPr>
      </w:pPr>
      <w:r>
        <w:rPr>
          <w:rFonts w:ascii="宋体" w:hAnsi="宋体" w:hint="eastAsia"/>
          <w:b/>
          <w:color w:val="auto"/>
          <w:highlight w:val="none"/>
        </w:rPr>
        <w:t>备注：上述“开标一览表”中的“投标总价”将作为价格分计算依据；其它信息仅是对投标文件相关内容的概括性表述，不作为评审依据。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23.2.6投标人在编辑投标文件时，</w:t>
      </w:r>
      <w:r>
        <w:rPr>
          <w:rFonts w:asciiTheme="majorEastAsia" w:eastAsiaTheme="majorEastAsia" w:hAnsiTheme="majorEastAsia" w:cstheme="majorEastAsia" w:hint="eastAsia"/>
          <w:b/>
          <w:color w:val="auto"/>
          <w:szCs w:val="21"/>
          <w:highlight w:val="none"/>
        </w:rPr>
        <w:t>在投标文件目录中属于本节点内容的必须在本节点中填写，填写到其他节点或附件，</w:t>
      </w:r>
      <w:r>
        <w:rPr>
          <w:rFonts w:asciiTheme="majorEastAsia" w:eastAsiaTheme="majorEastAsia" w:hAnsiTheme="majorEastAsia" w:cstheme="majorEastAsia" w:hint="eastAsia"/>
          <w:color w:val="auto"/>
          <w:szCs w:val="21"/>
          <w:highlight w:val="none"/>
        </w:rPr>
        <w:t>一切后果由供应商自行承担。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23.2.7投标书编写完成后，</w:t>
      </w:r>
      <w:r>
        <w:rPr>
          <w:rFonts w:asciiTheme="majorEastAsia" w:eastAsiaTheme="majorEastAsia" w:hAnsiTheme="majorEastAsia" w:cstheme="majorEastAsia" w:hint="eastAsia"/>
          <w:b/>
          <w:color w:val="auto"/>
          <w:szCs w:val="21"/>
          <w:highlight w:val="none"/>
        </w:rPr>
        <w:t>必须用属于投标人的电子密钥进行加密，否则视同未盖公章，将导致投标文件无效。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23.2.9如果开标时出现网络故障、技术故障，影响了招投标活动，采购代理机构有权采取措施如延期、接受无法从网上上传的投标书等，以保障招投标活动的公开、公平和公正。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23.3电报、电话、传真形式的投标概不接受。</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23.4经投标人电子密钥加密的投标文件无须盖章或签字，</w:t>
      </w:r>
      <w:r>
        <w:rPr>
          <w:rFonts w:asciiTheme="majorEastAsia" w:eastAsiaTheme="majorEastAsia" w:hAnsiTheme="majorEastAsia" w:cstheme="majorEastAsia" w:hint="eastAsia"/>
          <w:color w:val="auto"/>
          <w:szCs w:val="21"/>
          <w:highlight w:val="none"/>
        </w:rPr>
        <w:t>专用条款另有要求的除外。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23.5</w:t>
      </w:r>
      <w:r>
        <w:rPr>
          <w:rFonts w:asciiTheme="majorEastAsia" w:eastAsiaTheme="majorEastAsia" w:hAnsiTheme="majorEastAsia" w:cstheme="majorEastAsia" w:hint="eastAsia"/>
          <w:color w:val="auto"/>
          <w:szCs w:val="21"/>
          <w:highlight w:val="none"/>
        </w:rPr>
        <w:t xml:space="preserve"> 资格证明文件提供扫描件，专用条款另有要求的除外。</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投标文件的递交</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24．投标书的保密</w:t>
      </w:r>
    </w:p>
    <w:p>
      <w:pPr>
        <w:ind w:firstLine="412" w:firstLineChars="196"/>
        <w:rPr>
          <w:rFonts w:ascii="宋体" w:hAnsi="宋体" w:cs="宋体"/>
          <w:color w:val="auto"/>
          <w:highlight w:val="none"/>
        </w:rPr>
      </w:pPr>
      <w:r>
        <w:rPr>
          <w:rFonts w:asciiTheme="majorEastAsia" w:eastAsiaTheme="majorEastAsia" w:hAnsiTheme="majorEastAsia" w:cstheme="majorEastAsia" w:hint="eastAsia"/>
          <w:color w:val="auto"/>
          <w:szCs w:val="21"/>
          <w:highlight w:val="none"/>
        </w:rPr>
        <w:t>24.1</w:t>
      </w:r>
      <w:r>
        <w:rPr>
          <w:rFonts w:ascii="宋体" w:hAnsi="宋体" w:hint="eastAsia"/>
          <w:color w:val="auto"/>
          <w:highlight w:val="none"/>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r>
        <w:rPr>
          <w:rFonts w:ascii="宋体" w:hAnsi="宋体" w:cs="宋体" w:hint="eastAsia"/>
          <w:color w:val="auto"/>
          <w:highlight w:val="none"/>
        </w:rPr>
        <w:t>：</w:t>
      </w:r>
    </w:p>
    <w:p>
      <w:pPr>
        <w:widowControl/>
        <w:jc w:val="left"/>
        <w:rPr>
          <w:rFonts w:ascii="宋体" w:hAnsi="宋体" w:cs="宋体"/>
          <w:color w:val="auto"/>
          <w:kern w:val="0"/>
          <w:sz w:val="24"/>
          <w:highlight w:val="none"/>
        </w:rPr>
      </w:pPr>
      <w:r>
        <w:rPr>
          <w:rFonts w:ascii="宋体" w:hAnsi="宋体"/>
          <w:color w:val="auto"/>
          <w:highlight w:val="none"/>
        </w:rPr>
        <w:drawing>
          <wp:inline distT="0" distB="0" distL="114300" distR="114300">
            <wp:extent cx="5278755" cy="2721610"/>
            <wp:effectExtent l="0" t="0" r="17145" b="2540"/>
            <wp:docPr id="1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形用户界面, 应用程序&#10;&#10;描述已自动生成"/>
                    <pic:cNvPicPr>
                      <a:picLocks noChangeAspect="1"/>
                    </pic:cNvPicPr>
                  </pic:nvPicPr>
                  <pic:blipFill>
                    <a:blip xmlns:r="http://schemas.openxmlformats.org/officeDocument/2006/relationships" r:embed="rId9"/>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color w:val="auto"/>
          <w:highlight w:val="none"/>
        </w:rPr>
      </w:pPr>
      <w:r>
        <w:rPr>
          <w:rFonts w:ascii="宋体" w:hAnsi="宋体" w:hint="eastAsia"/>
          <w:color w:val="auto"/>
          <w:highlight w:val="none"/>
        </w:rPr>
        <w:t>在投标文件制作软件点击【生成标书】按钮进入【填写开标一览表界面】界面，在该界面填写完开标一览表信息后点击【确定】，进入投标文件生成环节</w:t>
      </w:r>
    </w:p>
    <w:p>
      <w:pPr>
        <w:jc w:val="center"/>
        <w:rPr>
          <w:rFonts w:ascii="宋体" w:hAnsi="宋体" w:cs="宋体"/>
          <w:color w:val="auto"/>
          <w:sz w:val="24"/>
          <w:highlight w:val="none"/>
        </w:rPr>
      </w:pPr>
      <w:r>
        <w:rPr>
          <w:rFonts w:ascii="宋体" w:hAnsi="宋体"/>
          <w:color w:val="auto"/>
          <w:highlight w:val="none"/>
        </w:rPr>
        <w:drawing>
          <wp:inline distT="0" distB="0" distL="114300" distR="114300">
            <wp:extent cx="5278755" cy="2732405"/>
            <wp:effectExtent l="0" t="0" r="17145" b="10795"/>
            <wp:docPr id="12"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图形用户界面&#10;&#10;描述已自动生成"/>
                    <pic:cNvPicPr>
                      <a:picLocks noChangeAspect="1"/>
                    </pic:cNvPicPr>
                  </pic:nvPicPr>
                  <pic:blipFill>
                    <a:blip xmlns:r="http://schemas.openxmlformats.org/officeDocument/2006/relationships" r:embed="rId10"/>
                    <a:stretch>
                      <a:fillRect/>
                    </a:stretch>
                  </pic:blipFill>
                  <pic:spPr>
                    <a:xfrm>
                      <a:off x="0" y="0"/>
                      <a:ext cx="5278755" cy="2732405"/>
                    </a:xfrm>
                    <a:prstGeom prst="rect">
                      <a:avLst/>
                    </a:prstGeom>
                    <a:noFill/>
                    <a:ln>
                      <a:noFill/>
                    </a:ln>
                  </pic:spPr>
                </pic:pic>
              </a:graphicData>
            </a:graphic>
          </wp:inline>
        </w:drawing>
      </w:r>
    </w:p>
    <w:p>
      <w:pPr>
        <w:widowControl/>
        <w:ind w:firstLine="412" w:firstLineChars="196"/>
        <w:jc w:val="left"/>
        <w:rPr>
          <w:rFonts w:asciiTheme="majorEastAsia" w:eastAsiaTheme="majorEastAsia" w:hAnsiTheme="majorEastAsia" w:cstheme="majorEastAsia"/>
          <w:color w:val="auto"/>
          <w:szCs w:val="21"/>
          <w:highlight w:val="none"/>
        </w:rPr>
      </w:pPr>
      <w:r>
        <w:rPr>
          <w:rFonts w:ascii="宋体" w:hAnsi="宋体" w:cs="宋体" w:hint="eastAsia"/>
          <w:b/>
          <w:color w:val="auto"/>
          <w:highlight w:val="none"/>
        </w:rPr>
        <w:t xml:space="preserve"> </w:t>
      </w:r>
      <w:r>
        <w:rPr>
          <w:rFonts w:ascii="宋体" w:hAnsi="宋体" w:hint="eastAsia"/>
          <w:color w:val="auto"/>
          <w:highlight w:val="none"/>
        </w:rPr>
        <w:t>投标文件制作软件会在投标文件生成过程中，提示用户输入密码，输入密码后对标文件自动进行加密。</w:t>
      </w: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b/>
          <w:color w:val="auto"/>
          <w:szCs w:val="21"/>
          <w:highlight w:val="none"/>
        </w:rPr>
        <w:t xml:space="preserve"> 24.2若采购项目出现延期情况：</w:t>
      </w:r>
    </w:p>
    <w:p>
      <w:pPr>
        <w:ind w:firstLine="420" w:firstLineChars="200"/>
        <w:rPr>
          <w:rFonts w:ascii="宋体" w:hAnsi="宋体" w:cs="宋体"/>
          <w:b/>
          <w:color w:val="auto"/>
          <w:sz w:val="24"/>
          <w:highlight w:val="none"/>
        </w:rPr>
      </w:pPr>
      <w:r>
        <w:rPr>
          <w:rFonts w:ascii="宋体" w:hAnsi="宋体" w:hint="eastAsia"/>
          <w:b/>
          <w:color w:val="auto"/>
          <w:highlight w:val="none"/>
        </w:rPr>
        <w:t>如果供下载的招标文件（后缀名为.</w:t>
      </w:r>
      <w:r>
        <w:rPr>
          <w:rFonts w:ascii="宋体" w:hAnsi="宋体"/>
          <w:b/>
          <w:color w:val="auto"/>
          <w:highlight w:val="none"/>
        </w:rPr>
        <w:t>szczf</w:t>
      </w:r>
      <w:r>
        <w:rPr>
          <w:rFonts w:ascii="宋体" w:hAnsi="宋体" w:hint="eastAsia"/>
          <w:b/>
          <w:color w:val="auto"/>
          <w:highlight w:val="none"/>
        </w:rPr>
        <w:t>）有更新，投标人必须重新下载招标文件、重新制作投标文件、重新加密投标文件、重新上传投标文件；如果供下载的招标文件（后缀名为.</w:t>
      </w:r>
      <w:r>
        <w:rPr>
          <w:rFonts w:ascii="宋体" w:hAnsi="宋体"/>
          <w:b/>
          <w:color w:val="auto"/>
          <w:highlight w:val="none"/>
        </w:rPr>
        <w:t>szczf</w:t>
      </w:r>
      <w:r>
        <w:rPr>
          <w:rFonts w:ascii="宋体" w:hAnsi="宋体" w:hint="eastAsia"/>
          <w:b/>
          <w:color w:val="auto"/>
          <w:highlight w:val="none"/>
        </w:rPr>
        <w:t>）没有更新，投标人必须重新加密投标文件、重新上传投标文件（是否重新制作投标文件根据项目实际情况定）。否则，投标人自行承担投标文件无法解密导致投标无效的后果</w:t>
      </w:r>
      <w:r>
        <w:rPr>
          <w:rFonts w:ascii="宋体" w:hAnsi="宋体" w:cs="宋体" w:hint="eastAsia"/>
          <w:b/>
          <w:color w:val="auto"/>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25．投标截止日期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25.1</w:t>
      </w:r>
      <w:r>
        <w:rPr>
          <w:rFonts w:ascii="宋体" w:hAnsi="宋体" w:hint="eastAsia"/>
          <w:color w:val="auto"/>
          <w:highlight w:val="none"/>
        </w:rPr>
        <w:t>实行网上投标，</w:t>
      </w:r>
      <w:r>
        <w:rPr>
          <w:rFonts w:ascii="宋体" w:hAnsi="宋体"/>
          <w:color w:val="auto"/>
          <w:highlight w:val="none"/>
        </w:rPr>
        <w:t>投标人必须</w:t>
      </w:r>
      <w:r>
        <w:rPr>
          <w:rFonts w:ascii="宋体" w:hAnsi="宋体" w:hint="eastAsia"/>
          <w:color w:val="auto"/>
          <w:highlight w:val="none"/>
        </w:rPr>
        <w:t>在招标</w:t>
      </w:r>
      <w:r>
        <w:rPr>
          <w:rFonts w:ascii="宋体" w:hAnsi="宋体"/>
          <w:color w:val="auto"/>
          <w:highlight w:val="none"/>
        </w:rPr>
        <w:t>文件规定的投标截止时间前</w:t>
      </w:r>
      <w:r>
        <w:rPr>
          <w:rFonts w:ascii="宋体" w:hAnsi="宋体" w:hint="eastAsia"/>
          <w:color w:val="auto"/>
          <w:highlight w:val="none"/>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color w:val="auto"/>
          <w:szCs w:val="21"/>
          <w:highlight w:val="none"/>
        </w:rPr>
        <w:t>深圳公共资源交易中心（深圳交易集团有限公司政府采购业务分公司）3楼304室（地址：深圳市福田区景田路70号雅枫国际酒店北侧交易集团评审区三楼），联系方式：83948100，83938584，83938599</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25.3投标截止时间以后不得上传投标文件。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26. 样品、现场演示、方案讲解</w:t>
      </w:r>
    </w:p>
    <w:p>
      <w:pPr>
        <w:spacing w:line="440" w:lineRule="exact"/>
        <w:ind w:firstLine="412" w:firstLineChars="196"/>
        <w:rPr>
          <w:rFonts w:ascii="宋体" w:hAnsi="宋体"/>
          <w:color w:val="auto"/>
          <w:szCs w:val="21"/>
          <w:highlight w:val="none"/>
        </w:rPr>
      </w:pPr>
      <w:r>
        <w:rPr>
          <w:rFonts w:ascii="宋体" w:hAnsi="宋体" w:hint="eastAsia"/>
          <w:color w:val="auto"/>
          <w:szCs w:val="21"/>
          <w:highlight w:val="none"/>
        </w:rPr>
        <w:t>26.1 样品、现场演示、方案讲解等事项在招标文件专用条款中进行规定。</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27．投标文件的修改和撤销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27.1投标方在提交投标文件后可对其投标文件进行修改并重新上传投标文件或在网上进行撤回投标的操作。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27.2投标截止时间以后不得修改投标文件。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27.3从投标截止期至投标人在投标书中确定的投标有效期之间的这段时间内，投标人不得撤销其投标。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27.4采购代理机构不退还投标文件，专用条款另有规定的除外。</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开标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28．开标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28.1</w:t>
      </w:r>
      <w:r>
        <w:rPr>
          <w:rFonts w:ascii="宋体" w:hAnsi="宋体" w:hint="eastAsia"/>
          <w:color w:val="auto"/>
          <w:highlight w:val="none"/>
        </w:rPr>
        <w:t>投标人须在开标当日的开标时间至解密截止时间内进行解密，逾期未解密的作无效处理。解密方法：登录“深圳政府采购智慧平台用户网上办事子系统（</w:t>
      </w:r>
      <w:r>
        <w:rPr>
          <w:rFonts w:ascii="宋体" w:hAnsi="宋体"/>
          <w:color w:val="auto"/>
          <w:highlight w:val="none"/>
        </w:rPr>
        <w:t>http://zfcg.szggzy.com/</w:t>
      </w:r>
      <w:r>
        <w:rPr>
          <w:rFonts w:ascii="宋体" w:hAnsi="宋体" w:hint="eastAsia"/>
          <w:color w:val="auto"/>
          <w:highlight w:val="none"/>
        </w:rPr>
        <w:t>TPBidder/memberLogin）”，使用本单位制作电子投标文件同一个电子密钥，在“【我的项目】→【项目流程】→【开标及解密】”进行在线解密、查询开标情况</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28.2 采购代理机构</w:t>
      </w:r>
      <w:r>
        <w:rPr>
          <w:rFonts w:ascii="宋体" w:hAnsi="宋体" w:hint="eastAsia"/>
          <w:color w:val="auto"/>
          <w:szCs w:val="21"/>
          <w:highlight w:val="none"/>
        </w:rPr>
        <w:t>将在满足开标条件（</w:t>
      </w:r>
      <w:r>
        <w:rPr>
          <w:rFonts w:ascii="宋体" w:hAnsi="宋体" w:cs="宋体" w:hint="eastAsia"/>
          <w:color w:val="auto"/>
          <w:sz w:val="20"/>
          <w:szCs w:val="20"/>
          <w:highlight w:val="none"/>
          <w:shd w:val="clear" w:color="auto" w:fill="FFFFFF"/>
        </w:rPr>
        <w:t>①</w:t>
      </w:r>
      <w:r>
        <w:rPr>
          <w:rFonts w:ascii="宋体" w:hAnsi="宋体" w:hint="eastAsia"/>
          <w:color w:val="auto"/>
          <w:szCs w:val="21"/>
          <w:highlight w:val="none"/>
        </w:rPr>
        <w:t>解密时间结束，解密后的投标供应商数量满足开标要求或</w:t>
      </w:r>
      <w:r>
        <w:rPr>
          <w:rFonts w:ascii="宋体" w:hAnsi="宋体" w:cs="宋体" w:hint="eastAsia"/>
          <w:color w:val="auto"/>
          <w:sz w:val="20"/>
          <w:szCs w:val="20"/>
          <w:highlight w:val="none"/>
          <w:shd w:val="clear" w:color="auto" w:fill="FFFFFF"/>
        </w:rPr>
        <w:t>②</w:t>
      </w:r>
      <w:r>
        <w:rPr>
          <w:rFonts w:ascii="宋体" w:hAnsi="宋体" w:hint="eastAsia"/>
          <w:color w:val="auto"/>
          <w:szCs w:val="21"/>
          <w:highlight w:val="none"/>
        </w:rPr>
        <w:t>解密时间结束前所有投标供应商均完成投标文件解密）后，对投标文件进行开标，并在网上公布开标结果</w:t>
      </w:r>
      <w:r>
        <w:rPr>
          <w:rFonts w:asciiTheme="majorEastAsia" w:eastAsiaTheme="majorEastAsia" w:hAnsiTheme="majorEastAsia" w:cstheme="majorEastAsia" w:hint="eastAsia"/>
          <w:color w:val="auto"/>
          <w:szCs w:val="21"/>
          <w:highlight w:val="none"/>
        </w:rPr>
        <w:t>。</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评标要求</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29．评审委员会组成</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29.1网上开标结束后召开评标会议，评审委员会由采购代理机构依法组建，负责评标活动。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评审委员会由采购人代表和评审专家组成，成员人数为五人以上的单数。评定分离项目评审专家均由评审专家组成。采购人代表须持本单位签发的《评标授权书》参加评标。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29.2评标定标应当遵循公平、公正、科学、择优的原则。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29.3评标活动依法进行，任何单位和个人不得非法干预评标过程和结果。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29.4评标过程中不允许违背评标程序或采用招标文件未载明的评标方法或评标因素进行评标。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29.5 开标后，直到签订合同为止，凡属于对投标文件的审查、澄清、评价和比较的有关资料以及中标候选人的推荐情况、与评标有关的其他任何情况均严格保密（</w:t>
      </w:r>
      <w:r>
        <w:rPr>
          <w:rFonts w:asciiTheme="majorEastAsia" w:eastAsiaTheme="majorEastAsia" w:hAnsiTheme="majorEastAsia" w:cstheme="majorEastAsia" w:hint="eastAsia"/>
          <w:color w:val="auto"/>
          <w:szCs w:val="21"/>
          <w:highlight w:val="none"/>
        </w:rPr>
        <w:t>信息公开的内容除外</w:t>
      </w:r>
      <w:r>
        <w:rPr>
          <w:rFonts w:asciiTheme="majorEastAsia" w:eastAsiaTheme="majorEastAsia" w:hAnsiTheme="majorEastAsia" w:cstheme="majorEastAsia" w:hint="eastAsia"/>
          <w:bCs/>
          <w:color w:val="auto"/>
          <w:szCs w:val="21"/>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30．向评审委员会提供的资料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30.1公开发布的招标文件，包括图纸、服务清单、答疑文件等；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30.2其他评标必须的资料。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30.3评审委员会应当认真研究招标文件，至少应了解熟悉以下内容：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（1）招标的目的；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（2）招标项目需求的范围和性质；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（3）招标文件规定的投标人的资格、财政预算限额、商务条款；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（4）招标文件规定的评标程序、评标方法和评标因素；</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（5）招标文件所列示的资格性审查表及符合性审查表。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31．独立评标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30.1</w:t>
      </w:r>
      <w:r>
        <w:rPr>
          <w:rFonts w:asciiTheme="majorEastAsia" w:eastAsiaTheme="majorEastAsia" w:hAnsiTheme="majorEastAsia" w:cstheme="majorEastAsia" w:hint="eastAsia"/>
          <w:color w:val="auto"/>
          <w:szCs w:val="21"/>
          <w:highlight w:val="none"/>
        </w:rPr>
        <w:t>评审委员会</w:t>
      </w:r>
      <w:r>
        <w:rPr>
          <w:rFonts w:asciiTheme="majorEastAsia" w:eastAsiaTheme="majorEastAsia" w:hAnsiTheme="majorEastAsia" w:cstheme="majorEastAsia" w:hint="eastAsia"/>
          <w:bCs/>
          <w:color w:val="auto"/>
          <w:szCs w:val="21"/>
          <w:highlight w:val="none"/>
        </w:rPr>
        <w:t>成员的评标活动应当独立进行，并应遵循投标文件初审、澄清有关问题、比较与评价、确定中标供应商、编写评标报告的工作程序。</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评标程序及评标方法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32．投标文件初审</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440" w:lineRule="exact"/>
        <w:jc w:val="lef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    32.2 </w:t>
      </w:r>
      <w:r>
        <w:rPr>
          <w:rFonts w:asciiTheme="majorEastAsia" w:eastAsiaTheme="majorEastAsia" w:hAnsiTheme="majorEastAsia" w:cstheme="majorEastAsia" w:hint="eastAsia"/>
          <w:bCs/>
          <w:color w:val="auto"/>
          <w:szCs w:val="21"/>
          <w:highlight w:val="none"/>
        </w:rPr>
        <w:t>投标文件初审内容请详见《资格性审查表》和《符合性审查表》部分。投标人若有一条审查不通过则按投标无效处理。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 投标文件初审中关于供应商家数的计算：【适用于货物采购类项目】</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32.3.3非单一产品采购项目，采购人应当根据采购项目技术构成、产品价格比重等合理确定核心产品，并在招标文件中载明。多家投标人提供的核心产品品牌完全相同的，按前两款规定处理。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32.4投标人投标文件作无效处理的情形，具体包括但不限于以下：</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32.4.1不同投标人的投标文件由同一单位或者同一个人编制，或者由同一个人分阶段参与编制；</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32.4.2不同投标人委托同一单位或者个人办理投标事宜；</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32.4.3不同投标人的投标文件载明的项目管理成员或者联系人员为同一人；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32.4.4不同投标人的投标文件异常一致或者投标报价呈规律性差异；</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32.4.5</w:t>
      </w:r>
      <w:r>
        <w:rPr>
          <w:rFonts w:asciiTheme="majorEastAsia" w:eastAsiaTheme="majorEastAsia" w:hAnsiTheme="majorEastAsia" w:cstheme="majorEastAsia" w:hint="eastAsia"/>
          <w:bCs/>
          <w:color w:val="auto"/>
          <w:kern w:val="0"/>
          <w:szCs w:val="21"/>
          <w:highlight w:val="none"/>
        </w:rPr>
        <w:t>不同投标供应商的投标文件或部分投标文件相互混装</w:t>
      </w:r>
      <w:r>
        <w:rPr>
          <w:rFonts w:asciiTheme="majorEastAsia" w:eastAsiaTheme="majorEastAsia" w:hAnsiTheme="majorEastAsia" w:cstheme="majorEastAsia" w:hint="eastAsia"/>
          <w:bCs/>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32.4.6投标供应商之间相互约定给予未中标的供应商利益补偿；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32.4.7不同投标供应商的法定代表人、主要经营负责人、项目投标授权代表人、项目负责人、主要技术人员为同一人、属同一单位或者同一单位缴纳社会保险；</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32.4.8不同投标供应商的投标文件内容存在非正常一致；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32.4.9在同一单位工作人员为两家以上（含两家）供应商进行同一项投标活动；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32.4.10主管部门依照法律、法规认定的其他情形。</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32.5对不属于《资格性审查表》和《符合性审查表》所列的其他情形，除专用条款另有规定和32.4条款所列情形外，不得作为投标无效的理由。</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33．澄清有关问题</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对于投标文件中含义不明确、同类问题表述不一致或者有明显文字和计算错误的内容，评审委员会应当以书面形式要求投标人作出必要的澄清、说明或者补正。</w:t>
      </w:r>
    </w:p>
    <w:p>
      <w:pPr>
        <w:spacing w:line="440" w:lineRule="exact"/>
        <w:jc w:val="left"/>
        <w:textAlignment w:val="baseline"/>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根据本通用条款第34条，凡属于评审委员会在评审中发现的算术错误进行核实的修改不在此列。</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2" w:name="_Toc73521669"/>
      <w:bookmarkStart w:id="33" w:name="_Toc73521581"/>
      <w:bookmarkStart w:id="34" w:name="_Toc73517673"/>
      <w:bookmarkStart w:id="35" w:name="_Toc100052400"/>
      <w:bookmarkStart w:id="36" w:name="_Toc73518151"/>
      <w:r>
        <w:rPr>
          <w:rFonts w:asciiTheme="majorEastAsia" w:eastAsiaTheme="majorEastAsia" w:hAnsiTheme="majorEastAsia" w:cstheme="majorEastAsia" w:hint="eastAsia"/>
          <w:b/>
          <w:color w:val="auto"/>
          <w:szCs w:val="21"/>
          <w:highlight w:val="none"/>
        </w:rPr>
        <w:t>34．错误的修正</w:t>
      </w:r>
      <w:bookmarkEnd w:id="32"/>
      <w:bookmarkEnd w:id="33"/>
      <w:bookmarkEnd w:id="34"/>
      <w:bookmarkEnd w:id="35"/>
      <w:bookmarkEnd w:id="3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投标文件报价出现前后不一致的，除专用条款另有规定外，按照下列规定修正：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34.1投标文件中开标一览表内容与投标文件中相应内容不一致的，以开标一览表为准；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34.2大写金额和小写金额不一致的，以大写金额为准；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34.3单价金额小数点或者百分比有明显错位，以开标一览表的总价为准，并修改单价；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34.4总价金额与按单价汇总金额不一致的，以单价金额计算结果为准。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34.5同时出现两种以上不一致的，按照前款规定的顺序修正。修正后的报价按照本通用条款33条的规定，经投标人确认后产生约束力，投标人不确认的，其投标无效。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35．投标文件的比较与评价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36. 实地考察、演示或设备测试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36.1在招标过程中，评审委员会有权决定是否对本项目投标人进行现场勘察或实地考察或检验有关证明材料的原件。投标人应随时做好接受检查的准备。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36.2若招标文件要求进行现场演示或设备测试的，投标人应做好相应准备。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37．</w:t>
      </w:r>
      <w:r>
        <w:rPr>
          <w:rFonts w:asciiTheme="majorEastAsia" w:eastAsiaTheme="majorEastAsia" w:hAnsiTheme="majorEastAsia" w:cstheme="majorEastAsia" w:hint="eastAsia"/>
          <w:b/>
          <w:bCs/>
          <w:color w:val="auto"/>
          <w:szCs w:val="21"/>
          <w:highlight w:val="none"/>
        </w:rPr>
        <w:t>深圳经济特区政府采购条例实施细则规定的</w:t>
      </w:r>
      <w:r>
        <w:rPr>
          <w:rFonts w:asciiTheme="majorEastAsia" w:eastAsiaTheme="majorEastAsia" w:hAnsiTheme="majorEastAsia" w:cstheme="majorEastAsia" w:hint="eastAsia"/>
          <w:b/>
          <w:color w:val="auto"/>
          <w:szCs w:val="21"/>
          <w:highlight w:val="none"/>
        </w:rPr>
        <w:t>评标方法</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37.1评标方法的三种类型：</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37.1.1最低价法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最低价法，是指</w:t>
      </w:r>
      <w:r>
        <w:rPr>
          <w:rFonts w:asciiTheme="majorEastAsia" w:eastAsiaTheme="majorEastAsia" w:hAnsiTheme="majorEastAsia" w:cstheme="majorEastAsia" w:hint="eastAsia"/>
          <w:color w:val="auto"/>
          <w:kern w:val="0"/>
          <w:szCs w:val="21"/>
          <w:highlight w:val="none"/>
        </w:rPr>
        <w:t>完全满足招标文件的实质性要求，按照报价由低到高的顺序，依据招标文件中规定的数量或者比例推荐候选中标供应商</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37.1.2综合评分法</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综合评分法，</w:t>
      </w:r>
      <w:r>
        <w:rPr>
          <w:rFonts w:asciiTheme="majorEastAsia" w:eastAsiaTheme="majorEastAsia" w:hAnsiTheme="majorEastAsia" w:cstheme="majorEastAsia" w:hint="eastAsia"/>
          <w:color w:val="auto"/>
          <w:kern w:val="0"/>
          <w:szCs w:val="21"/>
          <w:highlight w:val="none"/>
        </w:rPr>
        <w:t>在最大限度地满足招标文件实质性要求的前提下，按照招标文件中规定的各项因素进行综合评审，评标总得分排名前列的投标人，作为推荐的候选中标供应商。</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37.1.3定性评审法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Theme="majorEastAsia" w:eastAsiaTheme="majorEastAsia" w:hAnsiTheme="majorEastAsia" w:cstheme="majorEastAsia" w:hint="eastAsia"/>
          <w:bCs/>
          <w:color w:val="auto"/>
          <w:szCs w:val="21"/>
          <w:highlight w:val="none"/>
        </w:rPr>
        <w:t xml:space="preserve">                                                                                                                                                                                                                                                                                                                                                                                                                                                                                                                                                                                                                                                                                                                                                                                                                                                                                                                                                                                                                                                                                                                                                                                                                                                                                                                                                                                                                                                                                                                                                                                                                                                                                                                                                                                                                                                                                                                                                                                                                                                                                                                                                                                                                                                                                                                                                                                                                                                                                                                                                                                                                                                                                                                                                                                                                                                                                                                                                                                                                                              </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37.2 本项目采用的评标方法见本项目招标文第一册“专用条款”的相关内容。</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37.3重新评审的情形</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kern w:val="0"/>
          <w:szCs w:val="21"/>
          <w:highlight w:val="none"/>
        </w:rPr>
        <w:t>评标结果汇总完成后，除下列情形外，任何人不得修改评标结果：</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37.3.1分值汇总计算错误的；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37.3.2分项评分超出评分标准范围的；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37.3.3评审委员会成员对客观评审因素评分不一致的；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37.3.4经评审委员会认定评分畸高、畸低的。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 37.4重新组建评审委员会的情形</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评审委员会或者其成员存在下列情形导致评标结果无效的，重新组建评审委员会进行评标，并书面报告本级财政部门：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37.4.1评审委员会组成不符合《政府采购货物和服务招标投标管理办法》规定的；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37.4.2有《政府采购货物和服务招标投标管理办法》第六十二条第一至五项情形的；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37.4.3评审委员会及其成员独立评标受到非法干预的；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37.4.4有政府采购法实施条例第七十五条规定的违法行为的。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有违法违规行为的原评审委员会成员不得参加重新组建的评审委员会。</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定标及公示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38．定标方法</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38.1非评定分离项目定标方法（授权评标委员会确定中标单位）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38.1.1评审委员会依据本项目招标文件所约定的评标方法进行评审和比较，向采购代理机构提交书面评标报告，并根据评标方法比较评价结果从优到劣进行排序，并推荐</w:t>
      </w:r>
      <w:r>
        <w:rPr>
          <w:rFonts w:asciiTheme="majorEastAsia" w:eastAsiaTheme="majorEastAsia" w:hAnsiTheme="majorEastAsia" w:cstheme="majorEastAsia" w:hint="eastAsia"/>
          <w:b/>
          <w:color w:val="auto"/>
          <w:szCs w:val="21"/>
          <w:highlight w:val="none"/>
        </w:rPr>
        <w:t>排名前三</w:t>
      </w:r>
      <w:r>
        <w:rPr>
          <w:rFonts w:asciiTheme="majorEastAsia" w:eastAsiaTheme="majorEastAsia" w:hAnsiTheme="majorEastAsia" w:cstheme="majorEastAsia" w:hint="eastAsia"/>
          <w:color w:val="auto"/>
          <w:szCs w:val="21"/>
          <w:highlight w:val="none"/>
        </w:rPr>
        <w:t>的投标单位为候选人中标供应商。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38.1.2采用最低价法的，评标结果按投标报价由低到高排序；投标报价相同的，按技术指标优劣顺序排列；技术指标仍然相同的，则采用抽签方式确定排序，具体操作办法及流程由评标委员会确定。采购方授权评标委员会，确定投标报价最低且排名第一的投标供应商为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38.1.3采用综合评分法的，</w:t>
      </w:r>
      <w:r>
        <w:rPr>
          <w:rFonts w:asciiTheme="majorEastAsia" w:eastAsiaTheme="majorEastAsia" w:hAnsiTheme="majorEastAsia" w:cstheme="majorEastAsia" w:hint="eastAsia"/>
          <w:bCs/>
          <w:color w:val="auto"/>
          <w:szCs w:val="21"/>
          <w:highlight w:val="none"/>
        </w:rPr>
        <w:t>每个投标单位的评标总得分以</w:t>
      </w:r>
      <w:r>
        <w:rPr>
          <w:rFonts w:asciiTheme="majorEastAsia" w:eastAsiaTheme="majorEastAsia" w:hAnsiTheme="majorEastAsia" w:cstheme="majorEastAsia" w:hint="eastAsia"/>
          <w:color w:val="auto"/>
          <w:szCs w:val="21"/>
          <w:highlight w:val="none"/>
        </w:rPr>
        <w:t>所有评标委员会成员的独立评分汇总</w:t>
      </w:r>
      <w:r>
        <w:rPr>
          <w:rFonts w:asciiTheme="majorEastAsia" w:eastAsiaTheme="majorEastAsia" w:hAnsiTheme="majorEastAsia" w:cstheme="majorEastAsia" w:hint="eastAsia"/>
          <w:bCs/>
          <w:color w:val="auto"/>
          <w:szCs w:val="21"/>
          <w:highlight w:val="none"/>
        </w:rPr>
        <w:t>后确定，评标总得分相同的，按投标报价由低到高</w:t>
      </w:r>
      <w:r>
        <w:rPr>
          <w:rFonts w:asciiTheme="majorEastAsia" w:eastAsiaTheme="majorEastAsia" w:hAnsiTheme="majorEastAsia" w:cstheme="majorEastAsia" w:hint="eastAsia"/>
          <w:color w:val="auto"/>
          <w:szCs w:val="21"/>
          <w:highlight w:val="none"/>
        </w:rPr>
        <w:t>顺序排列</w:t>
      </w:r>
      <w:r>
        <w:rPr>
          <w:rFonts w:asciiTheme="majorEastAsia" w:eastAsiaTheme="majorEastAsia" w:hAnsiTheme="majorEastAsia" w:cstheme="majorEastAsia" w:hint="eastAsia"/>
          <w:bCs/>
          <w:color w:val="auto"/>
          <w:szCs w:val="21"/>
          <w:highlight w:val="none"/>
        </w:rPr>
        <w:t>；评标总得分且投标报价相同的，按技术指标（技术部分）得分优劣顺序排列</w:t>
      </w:r>
      <w:r>
        <w:rPr>
          <w:rFonts w:asciiTheme="majorEastAsia" w:eastAsiaTheme="majorEastAsia" w:hAnsiTheme="majorEastAsia" w:cstheme="majorEastAsia" w:hint="eastAsia"/>
          <w:color w:val="auto"/>
          <w:szCs w:val="21"/>
          <w:highlight w:val="none"/>
        </w:rPr>
        <w:t>；如技术指标（技术部分）得分仍然相同的，则采用抽签方式确定排序，具体操作办法及流程由评标委员会确定。</w:t>
      </w:r>
      <w:r>
        <w:rPr>
          <w:rFonts w:asciiTheme="majorEastAsia" w:eastAsiaTheme="majorEastAsia" w:hAnsiTheme="majorEastAsia" w:cstheme="majorEastAsia" w:hint="eastAsia"/>
          <w:bCs/>
          <w:color w:val="auto"/>
          <w:szCs w:val="21"/>
          <w:highlight w:val="none"/>
        </w:rPr>
        <w:t>采购方授权评标委员会，确定评标总得分最高且排名第一的投标人为中标单位。</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38.2评定分离项目定标方法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38.2.2评审委员会采用综合评分法评审，并按照38.1.3规定的评分汇总排序结果，推荐</w:t>
      </w:r>
      <w:r>
        <w:rPr>
          <w:rFonts w:asciiTheme="majorEastAsia" w:eastAsiaTheme="majorEastAsia" w:hAnsiTheme="majorEastAsia" w:cstheme="majorEastAsia" w:hint="eastAsia"/>
          <w:b/>
          <w:color w:val="auto"/>
          <w:szCs w:val="21"/>
          <w:highlight w:val="none"/>
        </w:rPr>
        <w:t>排名前三</w:t>
      </w:r>
      <w:r>
        <w:rPr>
          <w:rFonts w:asciiTheme="majorEastAsia" w:eastAsiaTheme="majorEastAsia" w:hAnsiTheme="majorEastAsia" w:cstheme="majorEastAsia" w:hint="eastAsia"/>
          <w:color w:val="auto"/>
          <w:szCs w:val="21"/>
          <w:highlight w:val="none"/>
        </w:rPr>
        <w:t>的投标单位为候选中标供应商。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38.2.3采购人采用自定法定标，按照《深圳市政府采购评标定标分离管理办法》的相关规定执行。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38.3专用条款另有规定的，按专用条款相关要求定标。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39．编写评标报告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40．中标公告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40.1为体现“公开、公平、公正”的原则，评标结束后，采购代理机构将在</w:t>
      </w:r>
      <w:r>
        <w:rPr>
          <w:rFonts w:ascii="宋体" w:hAnsi="宋体" w:cs="宋体" w:hint="eastAsia"/>
          <w:color w:val="auto"/>
          <w:szCs w:val="21"/>
          <w:highlight w:val="none"/>
        </w:rPr>
        <w:t>深圳政府采购智慧平台</w:t>
      </w:r>
      <w:r>
        <w:rPr>
          <w:rFonts w:asciiTheme="minorEastAsia" w:eastAsiaTheme="minorEastAsia" w:hAnsiTheme="minorEastAsia" w:cs="宋体" w:hint="eastAsia"/>
          <w:color w:val="auto"/>
          <w:szCs w:val="21"/>
          <w:highlight w:val="none"/>
        </w:rPr>
        <w:t>（http://zfcg.szggzy.com:8081/）</w:t>
      </w:r>
      <w:r>
        <w:rPr>
          <w:rFonts w:asciiTheme="majorEastAsia" w:eastAsiaTheme="majorEastAsia" w:hAnsiTheme="majorEastAsia" w:cstheme="majorEastAsia" w:hint="eastAsia"/>
          <w:color w:val="auto"/>
          <w:szCs w:val="21"/>
          <w:highlight w:val="none"/>
        </w:rPr>
        <w:t>上发布中标结果公告</w:t>
      </w:r>
      <w:r>
        <w:rPr>
          <w:rFonts w:hint="eastAsia"/>
          <w:color w:val="auto"/>
          <w:szCs w:val="21"/>
          <w:highlight w:val="none"/>
        </w:rPr>
        <w:t>，公示期为不少于3日</w:t>
      </w:r>
      <w:r>
        <w:rPr>
          <w:rFonts w:asciiTheme="majorEastAsia" w:eastAsiaTheme="majorEastAsia" w:hAnsiTheme="majorEastAsia" w:cstheme="majorEastAsia" w:hint="eastAsia"/>
          <w:color w:val="auto"/>
          <w:szCs w:val="21"/>
          <w:highlight w:val="none"/>
        </w:rPr>
        <w:t>。供应商如对评标结果有异议，可在公示期内向采购代理机构提出。若在公示期内未提出异议，则视为认同该评标结果。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40.2质疑投诉人应保证质疑投诉内容的真实性和可靠性，并承担相应的法律责任。</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41．中标通知书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41.1中标公告公布以后，公示期内无异议或异议不成立的，采购代理机构可按规定发出《中标通知书》。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41.2 中标通知书是合同的重要组成部分。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41.3因质疑投诉或其它原因导致项目结果变更或采购终止的，采购代理机构有权吊销中标通知书或终止采购合同。</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公开招标失败的后续处理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42．公开招标失败的处理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42.1本项目公开招标过程中若由于投标截止后实际递交投标文件的供应商数量不足、经评审委员会评审对招标文件作实质响应的供应商不足等原因造成公开招标失败，可由采购代理机构重新组织采购。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42.2对公开招标失败的项目，评审委员会在出具该项目招标失败结论的同时，提出重新采购组织形式的建议，以及进一步完善招标文件的资格、技术、商务要求的修改建议。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42.3重新组织采购有以下两种组织形式：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（1）由采购代理机构重新组织公开招标；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（2）根据实际情况需要向政府采购监督管理部门提出非公开招标方式申请，经政府采购监督管理部门批准，公开招标失败采购项目可转为竞争性谈判或单一来源谈判方式采购。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42.4公开招标失败的采购项目重新组织公开招标，由采购代理机构重新按公开招标流程组织采购活动。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42.5公开招标失败的采购项目经政府采购监督管理部门批准转为竞争性谈判或单一来源谈判方式采购的，按规定要求组织政府采购工作。</w:t>
      </w:r>
    </w:p>
    <w:p>
      <w:pPr>
        <w:pStyle w:val="Heading2"/>
        <w:numPr>
          <w:ilvl w:val="0"/>
          <w:numId w:val="14"/>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合同的授予与备案</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7" w:name="_Toc73518157"/>
      <w:bookmarkStart w:id="38" w:name="_Toc73521586"/>
      <w:bookmarkStart w:id="39" w:name="_Toc73517679"/>
      <w:bookmarkStart w:id="40" w:name="_Toc100052408"/>
      <w:bookmarkStart w:id="41" w:name="_Toc73521674"/>
      <w:r>
        <w:rPr>
          <w:rFonts w:asciiTheme="majorEastAsia" w:eastAsiaTheme="majorEastAsia" w:hAnsiTheme="majorEastAsia" w:cstheme="majorEastAsia" w:hint="eastAsia"/>
          <w:b/>
          <w:color w:val="auto"/>
          <w:szCs w:val="21"/>
          <w:highlight w:val="none"/>
        </w:rPr>
        <w:t>43．合同授予标准</w:t>
      </w:r>
      <w:bookmarkEnd w:id="37"/>
      <w:bookmarkEnd w:id="38"/>
      <w:bookmarkEnd w:id="39"/>
      <w:bookmarkEnd w:id="40"/>
      <w:bookmarkEnd w:id="4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本项目的合同将授予按本招标文件规定评审确定的中标人。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2" w:name="_Toc73517680"/>
      <w:bookmarkStart w:id="43" w:name="_Toc100052409"/>
      <w:bookmarkStart w:id="44" w:name="_Toc73521587"/>
      <w:bookmarkStart w:id="45" w:name="_Toc73521675"/>
      <w:bookmarkStart w:id="46" w:name="_Toc73518158"/>
      <w:r>
        <w:rPr>
          <w:rFonts w:asciiTheme="majorEastAsia" w:eastAsiaTheme="majorEastAsia" w:hAnsiTheme="majorEastAsia" w:cstheme="majorEastAsia" w:hint="eastAsia"/>
          <w:b/>
          <w:color w:val="auto"/>
          <w:szCs w:val="21"/>
          <w:highlight w:val="none"/>
        </w:rPr>
        <w:t>44．</w:t>
      </w:r>
      <w:bookmarkEnd w:id="42"/>
      <w:bookmarkEnd w:id="43"/>
      <w:bookmarkEnd w:id="44"/>
      <w:bookmarkEnd w:id="45"/>
      <w:bookmarkEnd w:id="46"/>
      <w:r>
        <w:rPr>
          <w:rFonts w:asciiTheme="majorEastAsia" w:eastAsiaTheme="majorEastAsia" w:hAnsiTheme="majorEastAsia" w:cstheme="majorEastAsia" w:hint="eastAsia"/>
          <w:b/>
          <w:color w:val="auto"/>
          <w:szCs w:val="21"/>
          <w:highlight w:val="none"/>
        </w:rPr>
        <w:t>接受和拒绝任何或所有投标的权力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7" w:name="_Toc73521677"/>
      <w:bookmarkStart w:id="48" w:name="_Toc73518160"/>
      <w:bookmarkStart w:id="49" w:name="_Toc73521589"/>
      <w:bookmarkStart w:id="50" w:name="_Toc73517682"/>
      <w:bookmarkStart w:id="51" w:name="_Toc100052410"/>
      <w:r>
        <w:rPr>
          <w:rFonts w:asciiTheme="majorEastAsia" w:eastAsiaTheme="majorEastAsia" w:hAnsiTheme="majorEastAsia" w:cstheme="majorEastAsia" w:hint="eastAsia"/>
          <w:b/>
          <w:color w:val="auto"/>
          <w:szCs w:val="21"/>
          <w:highlight w:val="none"/>
        </w:rPr>
        <w:t>45．合同协议书的签订</w:t>
      </w:r>
      <w:bookmarkEnd w:id="47"/>
      <w:bookmarkEnd w:id="48"/>
      <w:bookmarkEnd w:id="49"/>
      <w:bookmarkEnd w:id="50"/>
      <w:bookmarkEnd w:id="5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45.2中标人如不按本通用条款第45.1款的规定与采购人签订合同，</w:t>
      </w:r>
      <w:r>
        <w:rPr>
          <w:rFonts w:asciiTheme="majorEastAsia" w:eastAsiaTheme="majorEastAsia" w:hAnsiTheme="majorEastAsia" w:cstheme="majorEastAsia" w:hint="eastAsia"/>
          <w:color w:val="auto"/>
          <w:kern w:val="0"/>
          <w:szCs w:val="21"/>
          <w:highlight w:val="none"/>
        </w:rPr>
        <w:t>情节严重的，并由主管部门记入供应商诚信档案，予以通报</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45.3中标人应当按照合同约定履行义务，完成中标项目，不得将中标项目转让（转包）给他人。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52" w:name="_Toc73517683"/>
      <w:bookmarkStart w:id="53" w:name="_Toc100052411"/>
      <w:bookmarkStart w:id="54" w:name="_Toc73521678"/>
      <w:bookmarkStart w:id="55" w:name="_Toc73518161"/>
      <w:bookmarkStart w:id="56" w:name="_Toc73521590"/>
      <w:r>
        <w:rPr>
          <w:rFonts w:asciiTheme="majorEastAsia" w:eastAsiaTheme="majorEastAsia" w:hAnsiTheme="majorEastAsia" w:cstheme="majorEastAsia" w:hint="eastAsia"/>
          <w:b/>
          <w:color w:val="auto"/>
          <w:szCs w:val="21"/>
          <w:highlight w:val="none"/>
        </w:rPr>
        <w:t>46．履约担保</w:t>
      </w:r>
      <w:bookmarkEnd w:id="52"/>
      <w:bookmarkEnd w:id="53"/>
      <w:bookmarkEnd w:id="54"/>
      <w:bookmarkEnd w:id="55"/>
      <w:bookmarkEnd w:id="5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46.1在签订项目合同的同时，中标人应按“对通用条款的补充内容”中规定的金额向采购人提交履约保证金；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46.3项目服务期满之后,经验收合格后，采购人在七日内办理解除履约担保手续。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47. 合同的备案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采购人与中标人应于合同签订之日起十日内，由采购人或委托中标人将采购合同副本抄送合同备案工作实施机构备案。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48. 合同的变更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合同变更事宜按《深圳市财政局 深圳市政府采购中心关于进一步加强市本级政府采购合同备案管理工作的通知》（深财购〔2019〕43号）相关规定执行。</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49. 履约抽检及情况的反馈</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49.2采购人和供应商应当在采购合同履行完毕三十日之内将政府采购合同履行情况和相关政府采购建议等反馈至履约评价工作实施机构。</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50. 宣传</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凡与政府采购活动有关的宣传或广告，若当中提及政府采购，必须事先将具体对外宣传方案报财政主管部门和采购代理机构，并征得其同意。对外市场宣传包括但不限于以下形式：</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a.名片、宣传册、广告标语等；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b.案例介绍、推广等；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c.工作人员向其他消费群体宣传。</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51. 供应商违法责任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（1）在采购活动中应当回避而未回避的；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（2）未按本条例规定签订、履行采购合同，造成严重后果的；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（3）隐瞒真实情况，提供虚假资料的；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（4）以非法手段排斥其他供应商参与竞争的；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（5）与其他采购参加人串通投标的；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（6）恶意投诉的；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（7）向采购项目相关人行贿或者提供其他不当利益的；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（8）阻碍、抗拒主管部门监督检查的；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（9）其他违反本条例规定的行为。</w:t>
      </w:r>
    </w:p>
    <w:p>
      <w:pPr>
        <w:pStyle w:val="Heading2"/>
        <w:spacing w:before="120" w:after="120" w:line="440" w:lineRule="exact"/>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第十一章  质疑处理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52.质疑提出与答复</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52.1提出质疑</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color w:val="auto"/>
          <w:spacing w:val="-6"/>
          <w:szCs w:val="21"/>
          <w:highlight w:val="none"/>
        </w:rPr>
        <w:t>参与政府采购活动的供应商认为自己的权益在采购活动中受到损害的，应当自知道或者应当知道其权益受到损害之日起七个工作日内向采购人、采购代理机构以书面形式提出质疑</w:t>
      </w:r>
      <w:r>
        <w:rPr>
          <w:rFonts w:asciiTheme="majorEastAsia" w:eastAsiaTheme="majorEastAsia" w:hAnsiTheme="majorEastAsia" w:cstheme="majorEastAsia" w:hint="eastAsia"/>
          <w:color w:val="auto"/>
          <w:szCs w:val="21"/>
          <w:highlight w:val="none"/>
        </w:rPr>
        <w:t>。</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52.2法律依据</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52.3质疑条件</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52.3.1提出质疑的供应商应当是参与所质疑项目采购活动的供应商；</w:t>
      </w:r>
    </w:p>
    <w:p>
      <w:pPr>
        <w:spacing w:line="440" w:lineRule="exact"/>
        <w:textAlignment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 xml:space="preserve">    52.3.2</w:t>
      </w:r>
      <w:r>
        <w:rPr>
          <w:rFonts w:asciiTheme="majorEastAsia" w:eastAsiaTheme="majorEastAsia" w:hAnsiTheme="majorEastAsia" w:cstheme="majorEastAsia" w:hint="eastAsia"/>
          <w:color w:val="auto"/>
          <w:kern w:val="0"/>
          <w:szCs w:val="21"/>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52.3.3应提交书面质疑函，质疑函应当包括以下内容：（1）具体、明确的质疑事项和与质疑事项相关的请求；（2）合理的事实和依据；（3）必要的证明材料和法律依据。注：质疑函范本可在深圳公共资源交易中心网站下载。</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52.4提交材料</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质疑函、营业执照复印件、法定代表人证明。如委托代理人提交的，还需提交授权委托书及代理人身份证明。</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52.5收文部门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采购代理机构质监部门。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52.6收文办理程序</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52.6.1供应商提交的质疑材料符合质疑条件的办理收文，出具收文回执；</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52.7质疑答复时限</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自收文之日起七个工作日内。</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52.8投诉</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对质疑答复不满意或者未在规定时间内答复的，提出质疑的供应商可以在答复期满后15个工作日内向深圳市财政局投诉。</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53. 质疑后续处理</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53.1供应商质疑不成立，或者成立但未对中标、成交结果构成影响的，继续开展采购活动。</w:t>
      </w:r>
    </w:p>
    <w:p>
      <w:pPr>
        <w:spacing w:line="440" w:lineRule="exact"/>
        <w:ind w:firstLine="42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spacing w:line="440" w:lineRule="exact"/>
        <w:rPr>
          <w:rFonts w:ascii="宋体" w:hAnsi="宋体" w:cs="宋体"/>
          <w:b/>
          <w:color w:val="auto"/>
          <w:szCs w:val="21"/>
          <w:highlight w:val="none"/>
        </w:rPr>
      </w:pPr>
      <w:r>
        <w:rPr>
          <w:rFonts w:ascii="宋体" w:hAnsi="宋体" w:cs="宋体" w:hint="eastAsia"/>
          <w:b/>
          <w:color w:val="auto"/>
          <w:szCs w:val="21"/>
          <w:highlight w:val="none"/>
        </w:rPr>
        <w:t>附：中小企业相关优惠政策文件（供参考）</w:t>
      </w:r>
    </w:p>
    <w:p>
      <w:pPr>
        <w:spacing w:line="440" w:lineRule="exact"/>
        <w:rPr>
          <w:rFonts w:ascii="宋体" w:hAnsi="宋体" w:cs="宋体"/>
          <w:bCs/>
          <w:color w:val="auto"/>
          <w:szCs w:val="21"/>
          <w:highlight w:val="none"/>
        </w:rPr>
      </w:pPr>
    </w:p>
    <w:p>
      <w:pPr>
        <w:pStyle w:val="NormalWeb"/>
        <w:spacing w:line="440" w:lineRule="exact"/>
        <w:jc w:val="center"/>
        <w:rPr>
          <w:rFonts w:ascii="宋体" w:hAnsi="宋体" w:cs="宋体"/>
          <w:color w:val="auto"/>
          <w:sz w:val="21"/>
          <w:szCs w:val="21"/>
          <w:highlight w:val="none"/>
          <w:shd w:val="clear" w:color="auto" w:fill="FFFFFF"/>
        </w:rPr>
      </w:pPr>
      <w:r>
        <w:rPr>
          <w:rFonts w:ascii="宋体" w:hAnsi="宋体" w:cs="宋体" w:hint="eastAsia"/>
          <w:b/>
          <w:color w:val="auto"/>
          <w:sz w:val="28"/>
          <w:szCs w:val="28"/>
          <w:highlight w:val="none"/>
          <w:shd w:val="clear" w:color="auto" w:fill="FFFFFF"/>
        </w:rPr>
        <w:t>关于印发《政府采购促进中小企业发展管理办法》的通知</w:t>
      </w:r>
      <w:r>
        <w:rPr>
          <w:rFonts w:ascii="宋体" w:hAnsi="宋体" w:cs="宋体" w:hint="eastAsia"/>
          <w:color w:val="auto"/>
          <w:sz w:val="28"/>
          <w:szCs w:val="28"/>
          <w:highlight w:val="none"/>
          <w:shd w:val="clear" w:color="auto" w:fill="FFFFFF"/>
        </w:rPr>
        <w:br/>
      </w:r>
      <w:r>
        <w:rPr>
          <w:rFonts w:ascii="宋体" w:hAnsi="宋体" w:cs="宋体" w:hint="eastAsia"/>
          <w:color w:val="auto"/>
          <w:sz w:val="21"/>
          <w:szCs w:val="21"/>
          <w:highlight w:val="none"/>
          <w:shd w:val="clear" w:color="auto" w:fill="FFFFFF"/>
        </w:rPr>
        <w:t>财库〔2020〕46号</w:t>
      </w:r>
    </w:p>
    <w:p>
      <w:pPr>
        <w:pStyle w:val="NormalWeb"/>
        <w:spacing w:line="440" w:lineRule="exact"/>
        <w:ind w:firstLine="420" w:firstLineChars="200"/>
        <w:rPr>
          <w:rFonts w:ascii="宋体" w:hAnsi="宋体" w:cs="宋体"/>
          <w:color w:val="auto"/>
          <w:sz w:val="21"/>
          <w:szCs w:val="21"/>
          <w:highlight w:val="none"/>
          <w:shd w:val="clear" w:color="auto" w:fill="FFFFFF"/>
        </w:rPr>
      </w:pP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附件：政府采购促进中小企业发展管理办法</w:t>
      </w:r>
    </w:p>
    <w:p>
      <w:pPr>
        <w:pStyle w:val="NormalWeb"/>
        <w:shd w:val="clear" w:color="auto" w:fill="FFFFFF"/>
        <w:spacing w:line="440" w:lineRule="exact"/>
        <w:ind w:firstLine="420"/>
        <w:rPr>
          <w:rFonts w:ascii="宋体" w:hAnsi="宋体" w:cs="宋体"/>
          <w:color w:val="auto"/>
          <w:sz w:val="21"/>
          <w:szCs w:val="21"/>
          <w:highlight w:val="none"/>
          <w:shd w:val="clear" w:color="auto" w:fill="FFFFFF"/>
        </w:rPr>
      </w:pPr>
    </w:p>
    <w:p>
      <w:pPr>
        <w:pStyle w:val="NormalWeb"/>
        <w:spacing w:line="440" w:lineRule="exact"/>
        <w:ind w:firstLine="420" w:firstLineChars="200"/>
        <w:jc w:val="righ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财政部</w:t>
      </w:r>
      <w:r>
        <w:rPr>
          <w:rFonts w:ascii="宋体" w:hAnsi="宋体" w:cs="宋体" w:hint="eastAsia"/>
          <w:color w:val="auto"/>
          <w:sz w:val="21"/>
          <w:szCs w:val="21"/>
          <w:highlight w:val="none"/>
          <w:shd w:val="clear" w:color="auto" w:fill="FFFFFF"/>
        </w:rPr>
        <w:br/>
      </w:r>
      <w:r>
        <w:rPr>
          <w:rFonts w:ascii="宋体" w:hAnsi="宋体" w:cs="宋体" w:hint="eastAsia"/>
          <w:color w:val="auto"/>
          <w:sz w:val="21"/>
          <w:szCs w:val="21"/>
          <w:highlight w:val="none"/>
          <w:shd w:val="clear" w:color="auto" w:fill="FFFFFF"/>
        </w:rPr>
        <w:t>工业和信息化部</w:t>
      </w:r>
      <w:r>
        <w:rPr>
          <w:rFonts w:ascii="宋体" w:hAnsi="宋体" w:cs="宋体" w:hint="eastAsia"/>
          <w:color w:val="auto"/>
          <w:sz w:val="21"/>
          <w:szCs w:val="21"/>
          <w:highlight w:val="none"/>
          <w:shd w:val="clear" w:color="auto" w:fill="FFFFFF"/>
        </w:rPr>
        <w:br/>
      </w:r>
      <w:r>
        <w:rPr>
          <w:rFonts w:ascii="宋体" w:hAnsi="宋体" w:cs="宋体" w:hint="eastAsia"/>
          <w:color w:val="auto"/>
          <w:sz w:val="21"/>
          <w:szCs w:val="21"/>
          <w:highlight w:val="none"/>
          <w:shd w:val="clear" w:color="auto" w:fill="FFFFFF"/>
        </w:rPr>
        <w:t>2020年12月18日</w:t>
      </w: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w:t>
      </w:r>
    </w:p>
    <w:p>
      <w:pPr>
        <w:pStyle w:val="NormalWeb"/>
        <w:spacing w:line="440" w:lineRule="exact"/>
        <w:jc w:val="center"/>
        <w:rPr>
          <w:rFonts w:ascii="宋体" w:hAnsi="宋体" w:cs="宋体"/>
          <w:color w:val="auto"/>
          <w:highlight w:val="none"/>
        </w:rPr>
      </w:pPr>
      <w:r>
        <w:rPr>
          <w:rStyle w:val="Strong"/>
          <w:rFonts w:ascii="宋体" w:hAnsi="宋体" w:cs="宋体" w:hint="eastAsia"/>
          <w:bCs w:val="0"/>
          <w:color w:val="auto"/>
          <w:highlight w:val="none"/>
        </w:rPr>
        <w:t>政府采购促进中小企业发展管理办法</w:t>
      </w:r>
    </w:p>
    <w:p>
      <w:pPr>
        <w:pStyle w:val="NormalWeb"/>
        <w:spacing w:line="440" w:lineRule="exact"/>
        <w:ind w:firstLine="477" w:firstLineChars="227"/>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第一条</w:t>
      </w:r>
      <w:r>
        <w:rPr>
          <w:rFonts w:ascii="宋体" w:hAnsi="宋体" w:cs="宋体" w:hint="eastAsia"/>
          <w:color w:val="auto"/>
          <w:sz w:val="21"/>
          <w:szCs w:val="21"/>
          <w:highlight w:val="none"/>
        </w:rPr>
        <w:t>　为了发挥政府采购的政策功能，促进中小企业健康发展，根据《中华人民共和国政府采购法》、《中华人民共和国中小企业促进法》等有关法律法规，制定本办法。</w:t>
      </w: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第二条</w:t>
      </w:r>
      <w:r>
        <w:rPr>
          <w:rFonts w:ascii="宋体" w:hAnsi="宋体" w:cs="宋体" w:hint="eastAsia"/>
          <w:color w:val="auto"/>
          <w:sz w:val="21"/>
          <w:szCs w:val="21"/>
          <w:highlight w:val="none"/>
        </w:rPr>
        <w:t>　本办法所称</w:t>
      </w:r>
      <w:r>
        <w:rPr>
          <w:rStyle w:val="Strong"/>
          <w:rFonts w:ascii="宋体" w:hAnsi="宋体" w:cs="宋体" w:hint="eastAsia"/>
          <w:color w:val="auto"/>
          <w:sz w:val="21"/>
          <w:szCs w:val="21"/>
          <w:highlight w:val="none"/>
        </w:rPr>
        <w:t>中小企业</w:t>
      </w:r>
      <w:r>
        <w:rPr>
          <w:rFonts w:ascii="宋体" w:hAnsi="宋体" w:cs="宋体" w:hint="eastAsia"/>
          <w:color w:val="auto"/>
          <w:sz w:val="21"/>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符合中小企业划分标准的个体工商户，在政府采购活动中视同中小企业。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第三条　</w:t>
      </w:r>
      <w:r>
        <w:rPr>
          <w:rFonts w:ascii="宋体" w:hAnsi="宋体" w:cs="宋体" w:hint="eastAsia"/>
          <w:color w:val="auto"/>
          <w:sz w:val="21"/>
          <w:szCs w:val="21"/>
          <w:highlight w:val="none"/>
        </w:rPr>
        <w:t>采购人在政府采购活动中应当通过加强采购需求管理，落实预留采购份额、价格评审优惠、优先采购等措施，提高中小企业在政府采购中的份额，支持中小企业发展。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第四条　</w:t>
      </w:r>
      <w:r>
        <w:rPr>
          <w:rFonts w:ascii="宋体" w:hAnsi="宋体" w:cs="宋体" w:hint="eastAsia"/>
          <w:color w:val="auto"/>
          <w:sz w:val="21"/>
          <w:szCs w:val="21"/>
          <w:highlight w:val="none"/>
        </w:rPr>
        <w:t>在政府采购活动中，供应商提供的货物、工程或者服务符合下列情形的，享受本办法规定的中小企业扶持政策：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（一）在货物采购项目中，货物由中小企业制造，即货物由中小企业生产且使用该中小企业商号或者注册商标；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（二）在工程采购项目中，工程由中小企业承建，即工程施工单位为中小企业；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（三）在服务采购项目中，服务由中小企业承接，即提供服务的人员为中小企业依照《中华人民共和国劳动合同法》订立劳动合同的从业人员。</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在货物采购项目中，供应商提供的货物既有中小企业制造货物，也有大型企业制造货物的，不享受本办法规定的中小企业扶持政策。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以联合体形式参加政府采购活动，联合体各方均为中小企业的，联合体视同中小企业。其中，联合体各方均为小微企业的，联合体视同小微企业。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第五条　</w:t>
      </w:r>
      <w:r>
        <w:rPr>
          <w:rFonts w:ascii="宋体" w:hAnsi="宋体" w:cs="宋体" w:hint="eastAsia"/>
          <w:color w:val="auto"/>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第六条　</w:t>
      </w:r>
      <w:r>
        <w:rPr>
          <w:rFonts w:ascii="宋体" w:hAnsi="宋体" w:cs="宋体" w:hint="eastAsia"/>
          <w:color w:val="auto"/>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符合下列情形之一的，可不专门面向中小企业预留采购份额：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（一）法律法规和国家有关政策明确规定优先或者应当面向事业单位、社会组织等非企业主体采购的；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（二）因确需使用不可替代的专利、专有技术，基础设施限制，或者提供特定公共服务等原因，只能从中小企业之外的供应商处采购的；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（三）按照本办法规定预留采购份额无法确保充分供应、充分竞争，或者存在可能影响政府采购目标实现的情形；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（四）框架协议采购项目；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（五）省级以上人民政府财政部门规定的其他情形。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除上述情形外，其他均为适宜由中小企业提供的情形。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第七条　</w:t>
      </w:r>
      <w:r>
        <w:rPr>
          <w:rFonts w:ascii="宋体" w:hAnsi="宋体" w:cs="宋体" w:hint="eastAsia"/>
          <w:color w:val="auto"/>
          <w:sz w:val="21"/>
          <w:szCs w:val="21"/>
          <w:highlight w:val="none"/>
        </w:rPr>
        <w:t>采购限额标准以上，200万元以下的货物和服务采购项目、400万元以下的工程采购项目，适宜由中小企业提供的，采购人应当专门面向中小企业采购。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第八条　</w:t>
      </w:r>
      <w:r>
        <w:rPr>
          <w:rFonts w:ascii="宋体" w:hAnsi="宋体" w:cs="宋体" w:hint="eastAsia"/>
          <w:color w:val="auto"/>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（一）将采购项目整体或者设置采购包专门面向中小企业采购；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（二）要求供应商以联合体形式参加采购活动，且联合体中中小企业承担的部分达到一定比例；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（三）要求获得采购合同的供应商将采购项目中的一定比例分包给一家或者多家中小企业。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组成联合体或者接受分包合同的中小企业与联合体内其他企业、分包企业之间不得存在直接控股、管理关系。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第九条　</w:t>
      </w:r>
      <w:r>
        <w:rPr>
          <w:rFonts w:ascii="宋体" w:hAnsi="宋体" w:cs="宋体" w:hint="eastAsia"/>
          <w:color w:val="auto"/>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第十条　</w:t>
      </w:r>
      <w:r>
        <w:rPr>
          <w:rFonts w:ascii="宋体" w:hAnsi="宋体" w:cs="宋体" w:hint="eastAsia"/>
          <w:color w:val="auto"/>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第十一条　</w:t>
      </w:r>
      <w:r>
        <w:rPr>
          <w:rFonts w:ascii="宋体" w:hAnsi="宋体" w:cs="宋体" w:hint="eastAsia"/>
          <w:color w:val="auto"/>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第十二条　</w:t>
      </w:r>
      <w:r>
        <w:rPr>
          <w:rFonts w:ascii="宋体" w:hAnsi="宋体" w:cs="宋体" w:hint="eastAsia"/>
          <w:color w:val="auto"/>
          <w:sz w:val="21"/>
          <w:szCs w:val="21"/>
          <w:highlight w:val="none"/>
        </w:rPr>
        <w:t>采购项目涉及中小企业采购的，采购文件应当明确以下内容：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（一）预留份额的采购项目或者采购包，明确该项目或相关采购包专门面向中小企业采购，以及相关标的及预算金额；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（二）要求以联合体形式参加或者合同分包的，明确联合协议或者分包意向协议中中小企业合同金额应当达到的比例，并作为供应商资格条件；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（三）非预留份额的采购项目或者采购包，明确有关价格扣除比例或者价格分加分比例；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（四）规定依据本办法规定享受扶持政策获得政府采购合同的，小微企业不得将合同分包给大中型企业，中型企业不得将合同分包给大型企业；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（五）采购人认为具备相关条件的，明确对中小企业在资金支付期限、预付款比例等方面的优惠措施；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（六）明确采购标的对应的中小企业划分标准所属行业；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（七）法律法规和省级以上人民政府财政部门规定的其他事项。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第十三条　</w:t>
      </w:r>
      <w:r>
        <w:rPr>
          <w:rFonts w:ascii="宋体" w:hAnsi="宋体" w:cs="宋体" w:hint="eastAsia"/>
          <w:color w:val="auto"/>
          <w:sz w:val="21"/>
          <w:szCs w:val="21"/>
          <w:highlight w:val="none"/>
        </w:rPr>
        <w:t>中标、成交供应商享受本办法规定的中小企业扶持政策的，采购人、采购代理机构应当随中标、成交结果公开中标、成交供应商的《中小企业声明函》。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适用招标投标法的政府采购工程建设项目，应当在公示中标候选人时公开中标候选人的《中小企业声明函》。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 xml:space="preserve">第十四条 </w:t>
      </w:r>
      <w:r>
        <w:rPr>
          <w:rFonts w:ascii="宋体" w:hAnsi="宋体" w:cs="宋体" w:hint="eastAsia"/>
          <w:color w:val="auto"/>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第十五条　</w:t>
      </w:r>
      <w:r>
        <w:rPr>
          <w:rFonts w:ascii="宋体" w:hAnsi="宋体" w:cs="宋体" w:hint="eastAsia"/>
          <w:color w:val="auto"/>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第十六条　</w:t>
      </w:r>
      <w:r>
        <w:rPr>
          <w:rFonts w:ascii="宋体" w:hAnsi="宋体" w:cs="宋体" w:hint="eastAsia"/>
          <w:color w:val="auto"/>
          <w:sz w:val="21"/>
          <w:szCs w:val="21"/>
          <w:highlight w:val="none"/>
        </w:rPr>
        <w:t>政府采购监督检查、投诉处理及政府采购行政处罚中对中小企业的认定，由货物制造商或者工程、服务供应商注册登记所在地的县级以上人民政府中小企业主管部门负责。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中小企业主管部门应当在收到财政部门或者有关招标投标行政监督部门关于协助开展中小企业认定函后10个工作日内做出书面答复。</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第十七条　</w:t>
      </w:r>
      <w:r>
        <w:rPr>
          <w:rFonts w:ascii="宋体" w:hAnsi="宋体" w:cs="宋体" w:hint="eastAsia"/>
          <w:color w:val="auto"/>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第十八条　</w:t>
      </w:r>
      <w:r>
        <w:rPr>
          <w:rFonts w:ascii="宋体" w:hAnsi="宋体" w:cs="宋体" w:hint="eastAsia"/>
          <w:color w:val="auto"/>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第十九条　</w:t>
      </w:r>
      <w:r>
        <w:rPr>
          <w:rFonts w:ascii="宋体" w:hAnsi="宋体" w:cs="宋体" w:hint="eastAsia"/>
          <w:color w:val="auto"/>
          <w:sz w:val="21"/>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第二十条　</w:t>
      </w:r>
      <w:r>
        <w:rPr>
          <w:rFonts w:ascii="宋体" w:hAnsi="宋体" w:cs="宋体" w:hint="eastAsia"/>
          <w:color w:val="auto"/>
          <w:sz w:val="21"/>
          <w:szCs w:val="21"/>
          <w:highlight w:val="none"/>
        </w:rPr>
        <w:t>供应商按照本办法规定提供声明函内容不实的，属于提供虚假材料谋取中标、成交，依照《中华人民共和国政府采购法》等国家有关规定追究相应责任。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第二十一条　</w:t>
      </w:r>
      <w:r>
        <w:rPr>
          <w:rFonts w:ascii="宋体" w:hAnsi="宋体" w:cs="宋体" w:hint="eastAsia"/>
          <w:color w:val="auto"/>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第二十二条　</w:t>
      </w:r>
      <w:r>
        <w:rPr>
          <w:rFonts w:ascii="宋体" w:hAnsi="宋体" w:cs="宋体" w:hint="eastAsia"/>
          <w:color w:val="auto"/>
          <w:sz w:val="21"/>
          <w:szCs w:val="21"/>
          <w:highlight w:val="none"/>
        </w:rPr>
        <w:t>对外援助项目、国家相关资格或者资质管理制度另有规定的项目，不适用本办法。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第二十三条　</w:t>
      </w:r>
      <w:r>
        <w:rPr>
          <w:rFonts w:ascii="宋体" w:hAnsi="宋体" w:cs="宋体" w:hint="eastAsia"/>
          <w:color w:val="auto"/>
          <w:sz w:val="21"/>
          <w:szCs w:val="21"/>
          <w:highlight w:val="none"/>
        </w:rPr>
        <w:t>关于视同中小企业的其他主体的政府采购扶持政策，由财政部会同有关部门另行规定。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第二十四条　</w:t>
      </w:r>
      <w:r>
        <w:rPr>
          <w:rFonts w:ascii="宋体" w:hAnsi="宋体" w:cs="宋体" w:hint="eastAsia"/>
          <w:color w:val="auto"/>
          <w:sz w:val="21"/>
          <w:szCs w:val="21"/>
          <w:highlight w:val="none"/>
        </w:rPr>
        <w:t>省级财政部门可以会同中小企业主管部门根据本办法的规定制定具体实施办法。</w:t>
      </w:r>
    </w:p>
    <w:p>
      <w:pPr>
        <w:pStyle w:val="NormalWeb"/>
        <w:spacing w:line="440" w:lineRule="exact"/>
        <w:ind w:firstLine="420" w:firstLineChars="200"/>
        <w:rPr>
          <w:rFonts w:ascii="宋体" w:hAnsi="宋体" w:cs="宋体"/>
          <w:color w:val="auto"/>
          <w:kern w:val="2"/>
          <w:sz w:val="21"/>
          <w:szCs w:val="21"/>
          <w:highlight w:val="none"/>
        </w:rPr>
      </w:pPr>
      <w:r>
        <w:rPr>
          <w:rFonts w:ascii="宋体" w:hAnsi="宋体" w:cs="宋体" w:hint="eastAsia"/>
          <w:b/>
          <w:color w:val="auto"/>
          <w:kern w:val="2"/>
          <w:sz w:val="21"/>
          <w:szCs w:val="21"/>
          <w:highlight w:val="none"/>
        </w:rPr>
        <w:t>第二十五条　</w:t>
      </w:r>
      <w:r>
        <w:rPr>
          <w:rFonts w:ascii="宋体" w:hAnsi="宋体" w:cs="宋体" w:hint="eastAsia"/>
          <w:color w:val="auto"/>
          <w:kern w:val="2"/>
          <w:sz w:val="21"/>
          <w:szCs w:val="21"/>
          <w:highlight w:val="none"/>
        </w:rPr>
        <w:t>本办法自2021年1月1日起施行。《财政部工业和信息化部关于印发〈政府采购促进中小企业发展暂行办法〉的通知》（财库﹝2011﹞181号）同时废止。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Fonts w:ascii="宋体" w:hAnsi="宋体" w:cs="宋体"/>
          <w:color w:val="auto"/>
          <w:sz w:val="21"/>
          <w:szCs w:val="21"/>
          <w:highlight w:val="none"/>
        </w:rPr>
      </w:pPr>
      <w:r>
        <w:rPr>
          <w:rStyle w:val="Strong"/>
          <w:rFonts w:ascii="宋体" w:hAnsi="宋体" w:cs="宋体"/>
          <w:color w:val="auto"/>
          <w:sz w:val="28"/>
          <w:szCs w:val="28"/>
          <w:highlight w:val="none"/>
        </w:rPr>
        <w:t>关于印发中小企业划型标准规定的通知</w:t>
      </w:r>
      <w:r>
        <w:rPr>
          <w:rFonts w:ascii="宋体" w:hAnsi="宋体" w:cs="宋体"/>
          <w:color w:val="auto"/>
          <w:sz w:val="28"/>
          <w:szCs w:val="28"/>
          <w:highlight w:val="none"/>
        </w:rPr>
        <w:br/>
      </w:r>
      <w:r>
        <w:rPr>
          <w:rFonts w:ascii="宋体" w:hAnsi="宋体" w:cs="宋体" w:hint="eastAsia"/>
          <w:color w:val="auto"/>
          <w:sz w:val="21"/>
          <w:szCs w:val="21"/>
          <w:highlight w:val="none"/>
        </w:rPr>
        <w:t>工信部联企业〔2011〕300号</w:t>
      </w:r>
    </w:p>
    <w:p>
      <w:pPr>
        <w:pStyle w:val="NormalWeb"/>
        <w:spacing w:line="440" w:lineRule="exact"/>
        <w:rPr>
          <w:rFonts w:ascii="宋体" w:hAnsi="宋体" w:cs="宋体"/>
          <w:color w:val="auto"/>
          <w:sz w:val="21"/>
          <w:szCs w:val="21"/>
          <w:highlight w:val="none"/>
        </w:rPr>
      </w:pP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各省、自治区、直辖市人民政府，国务院各部委、各直属机构及有关单位：</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NormalWeb"/>
        <w:spacing w:line="440" w:lineRule="exact"/>
        <w:jc w:val="right"/>
        <w:rPr>
          <w:rFonts w:ascii="宋体" w:hAnsi="宋体" w:cs="宋体"/>
          <w:color w:val="auto"/>
          <w:sz w:val="21"/>
          <w:szCs w:val="21"/>
          <w:highlight w:val="none"/>
        </w:rPr>
      </w:pPr>
      <w:r>
        <w:rPr>
          <w:rFonts w:ascii="宋体" w:hAnsi="宋体" w:cs="宋体" w:hint="eastAsia"/>
          <w:color w:val="auto"/>
          <w:sz w:val="21"/>
          <w:szCs w:val="21"/>
          <w:highlight w:val="none"/>
        </w:rPr>
        <w:br/>
      </w:r>
      <w:r>
        <w:rPr>
          <w:rFonts w:ascii="宋体" w:hAnsi="宋体" w:cs="宋体" w:hint="eastAsia"/>
          <w:color w:val="auto"/>
          <w:sz w:val="21"/>
          <w:szCs w:val="21"/>
          <w:highlight w:val="none"/>
        </w:rPr>
        <w:t>　　　　　　　　　　　　　　　　　　　　　　 工业和信息化部　国家统计局</w:t>
      </w:r>
      <w:r>
        <w:rPr>
          <w:rFonts w:ascii="宋体" w:hAnsi="宋体" w:cs="宋体" w:hint="eastAsia"/>
          <w:color w:val="auto"/>
          <w:sz w:val="21"/>
          <w:szCs w:val="21"/>
          <w:highlight w:val="none"/>
        </w:rPr>
        <w:br/>
      </w:r>
      <w:r>
        <w:rPr>
          <w:rFonts w:ascii="宋体" w:hAnsi="宋体" w:cs="宋体" w:hint="eastAsia"/>
          <w:color w:val="auto"/>
          <w:sz w:val="21"/>
          <w:szCs w:val="21"/>
          <w:highlight w:val="none"/>
        </w:rPr>
        <w:t>　　　　　　　　　　　　　　　　　　　　　　国家发展和改革委员会　财政部</w:t>
      </w:r>
      <w:r>
        <w:rPr>
          <w:rFonts w:ascii="宋体" w:hAnsi="宋体" w:cs="宋体" w:hint="eastAsia"/>
          <w:color w:val="auto"/>
          <w:sz w:val="21"/>
          <w:szCs w:val="21"/>
          <w:highlight w:val="none"/>
        </w:rPr>
        <w:br/>
      </w:r>
      <w:r>
        <w:rPr>
          <w:rFonts w:ascii="宋体" w:hAnsi="宋体" w:cs="宋体" w:hint="eastAsia"/>
          <w:color w:val="auto"/>
          <w:sz w:val="21"/>
          <w:szCs w:val="21"/>
          <w:highlight w:val="none"/>
        </w:rPr>
        <w:t>　　　　　　　　　　　　　　　　　　　　　　　　二○一一年六月十八日</w:t>
      </w:r>
    </w:p>
    <w:p>
      <w:pPr>
        <w:pStyle w:val="NormalWeb"/>
        <w:jc w:val="center"/>
        <w:rPr>
          <w:color w:val="auto"/>
          <w:highlight w:val="none"/>
        </w:rPr>
      </w:pPr>
      <w:r>
        <w:rPr>
          <w:rStyle w:val="Strong"/>
          <w:color w:val="auto"/>
          <w:highlight w:val="none"/>
        </w:rPr>
        <w:t>中小企业划型标准规定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一、根据《中华人民共和国中小企业促进法》和《国务院关于进一步促进中小企业发展的若干意见》(国发〔2009〕36号)，制定本规定。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二、中小企业划分为中型、小型、微型三种类型，具体标准根据企业从业人员、营业收入、资产总额等指标，结合行业特点制定。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cs="宋体" w:hint="eastAsia"/>
          <w:color w:val="auto"/>
          <w:sz w:val="21"/>
          <w:szCs w:val="21"/>
          <w:highlight w:val="none"/>
        </w:rPr>
        <w:br/>
      </w:r>
      <w:r>
        <w:rPr>
          <w:rFonts w:ascii="宋体" w:hAnsi="宋体" w:cs="宋体" w:hint="eastAsia"/>
          <w:color w:val="auto"/>
          <w:sz w:val="21"/>
          <w:szCs w:val="21"/>
          <w:highlight w:val="none"/>
        </w:rPr>
        <w:t>　　四、各行业划型标准为：</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r>
        <w:rPr>
          <w:rFonts w:ascii="宋体" w:hAnsi="宋体" w:cs="宋体" w:hint="eastAsia"/>
          <w:color w:val="auto"/>
          <w:sz w:val="21"/>
          <w:szCs w:val="21"/>
          <w:highlight w:val="none"/>
        </w:rPr>
        <w:br/>
      </w:r>
      <w:r>
        <w:rPr>
          <w:rFonts w:ascii="宋体" w:hAnsi="宋体" w:cs="宋体" w:hint="eastAsia"/>
          <w:color w:val="auto"/>
          <w:sz w:val="21"/>
          <w:szCs w:val="21"/>
          <w:highlight w:val="none"/>
        </w:rPr>
        <w:t>　　五、企业类型的划分以统计部门的统计数据为依据。</w:t>
      </w:r>
      <w:r>
        <w:rPr>
          <w:rFonts w:ascii="宋体" w:hAnsi="宋体" w:cs="宋体" w:hint="eastAsia"/>
          <w:color w:val="auto"/>
          <w:sz w:val="21"/>
          <w:szCs w:val="21"/>
          <w:highlight w:val="none"/>
        </w:rPr>
        <w:br/>
      </w:r>
      <w:r>
        <w:rPr>
          <w:rFonts w:ascii="宋体" w:hAnsi="宋体" w:cs="宋体" w:hint="eastAsia"/>
          <w:color w:val="auto"/>
          <w:sz w:val="21"/>
          <w:szCs w:val="21"/>
          <w:highlight w:val="none"/>
        </w:rPr>
        <w:t>　　六、本规定适用于在中华人民共和国境内依法设立的各类所有制和各种组织形式的企业。个体工商户和本规定以外的行业，参照本规定进行划型。</w:t>
      </w:r>
      <w:r>
        <w:rPr>
          <w:rFonts w:ascii="宋体" w:hAnsi="宋体" w:cs="宋体" w:hint="eastAsia"/>
          <w:color w:val="auto"/>
          <w:sz w:val="21"/>
          <w:szCs w:val="21"/>
          <w:highlight w:val="none"/>
        </w:rPr>
        <w:br/>
      </w:r>
      <w:r>
        <w:rPr>
          <w:rFonts w:ascii="宋体" w:hAnsi="宋体" w:cs="宋体"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cs="宋体" w:hint="eastAsia"/>
          <w:color w:val="auto"/>
          <w:sz w:val="21"/>
          <w:szCs w:val="21"/>
          <w:highlight w:val="none"/>
        </w:rPr>
        <w:br/>
      </w:r>
      <w:r>
        <w:rPr>
          <w:rFonts w:ascii="宋体" w:hAnsi="宋体" w:cs="宋体" w:hint="eastAsia"/>
          <w:color w:val="auto"/>
          <w:sz w:val="21"/>
          <w:szCs w:val="21"/>
          <w:highlight w:val="none"/>
        </w:rPr>
        <w:t>　　八、本规定由工业和信息化部、国家统计局会同有关部门根据《国民经济行业分类》修订情况和企业发展变化情况适时修订。</w:t>
      </w:r>
      <w:r>
        <w:rPr>
          <w:rFonts w:ascii="宋体" w:hAnsi="宋体" w:cs="宋体" w:hint="eastAsia"/>
          <w:color w:val="auto"/>
          <w:sz w:val="21"/>
          <w:szCs w:val="21"/>
          <w:highlight w:val="none"/>
        </w:rPr>
        <w:br/>
      </w:r>
      <w:r>
        <w:rPr>
          <w:rFonts w:ascii="宋体" w:hAnsi="宋体" w:cs="宋体" w:hint="eastAsia"/>
          <w:color w:val="auto"/>
          <w:sz w:val="21"/>
          <w:szCs w:val="21"/>
          <w:highlight w:val="none"/>
        </w:rPr>
        <w:t>　　九、本规定由工业和信息化部、国家统计局会同有关部门负责解释。</w:t>
      </w:r>
      <w:r>
        <w:rPr>
          <w:rFonts w:ascii="宋体" w:hAnsi="宋体" w:cs="宋体" w:hint="eastAsia"/>
          <w:color w:val="auto"/>
          <w:sz w:val="21"/>
          <w:szCs w:val="21"/>
          <w:highlight w:val="none"/>
        </w:rPr>
        <w:br/>
      </w:r>
      <w:r>
        <w:rPr>
          <w:rFonts w:ascii="宋体" w:hAnsi="宋体" w:cs="宋体" w:hint="eastAsia"/>
          <w:color w:val="auto"/>
          <w:sz w:val="21"/>
          <w:szCs w:val="21"/>
          <w:highlight w:val="none"/>
        </w:rPr>
        <w:t>　　十、本规定自发布之日起执行，原国家经贸委、原国家计委、财政部和国家统计局2003年颁布的《中小企业标准暂行规定》同时废止。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75" w:lineRule="atLeast"/>
        <w:jc w:val="center"/>
        <w:rPr>
          <w:color w:val="auto"/>
          <w:sz w:val="28"/>
          <w:szCs w:val="28"/>
          <w:highlight w:val="none"/>
        </w:rPr>
      </w:pPr>
      <w:r>
        <w:rPr>
          <w:rFonts w:ascii="宋体" w:hAnsi="宋体" w:cs="宋体" w:hint="eastAsia"/>
          <w:b/>
          <w:color w:val="auto"/>
          <w:kern w:val="0"/>
          <w:sz w:val="28"/>
          <w:szCs w:val="28"/>
          <w:highlight w:val="none"/>
        </w:rPr>
        <w:t>国家统计局关于印发《统计上大中小微型企业划分办法（</w:t>
      </w:r>
      <w:r>
        <w:rPr>
          <w:b/>
          <w:color w:val="auto"/>
          <w:kern w:val="0"/>
          <w:sz w:val="28"/>
          <w:szCs w:val="28"/>
          <w:highlight w:val="none"/>
        </w:rPr>
        <w:t>2017</w:t>
      </w:r>
      <w:r>
        <w:rPr>
          <w:rFonts w:ascii="宋体" w:hAnsi="宋体" w:cs="宋体" w:hint="eastAsia"/>
          <w:b/>
          <w:color w:val="auto"/>
          <w:kern w:val="0"/>
          <w:sz w:val="28"/>
          <w:szCs w:val="28"/>
          <w:highlight w:val="none"/>
        </w:rPr>
        <w:t>）》的通知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国统字〔2017〕213号</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各省、自治区、直辖市统计局，新疆生产建设兵团统计局，国务院各有关部门，国家统计局各调查总队：</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）已正式实施，现对</w:t>
      </w:r>
      <w:r>
        <w:rPr>
          <w:rFonts w:ascii="宋体" w:hAnsi="宋体" w:cs="宋体"/>
          <w:color w:val="auto"/>
          <w:sz w:val="21"/>
          <w:szCs w:val="21"/>
          <w:highlight w:val="none"/>
        </w:rPr>
        <w:t>2011</w:t>
      </w:r>
      <w:r>
        <w:rPr>
          <w:rFonts w:ascii="宋体" w:hAnsi="宋体" w:cs="宋体" w:hint="eastAsia"/>
          <w:color w:val="auto"/>
          <w:sz w:val="21"/>
          <w:szCs w:val="21"/>
          <w:highlight w:val="none"/>
        </w:rPr>
        <w:t>年制定的《统计上大中小微型企业划分办法》进行修订。本次修订保持原有的分类原则、方法、结构框架和适用范围，仅将所涉及的行业按照《国民经济行业分类》（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2011</w:t>
      </w:r>
      <w:r>
        <w:rPr>
          <w:rFonts w:ascii="宋体" w:hAnsi="宋体" w:cs="宋体" w:hint="eastAsia"/>
          <w:color w:val="auto"/>
          <w:sz w:val="21"/>
          <w:szCs w:val="21"/>
          <w:highlight w:val="none"/>
        </w:rPr>
        <w:t>）和《国民经济行业分类》（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）的对应关系，进行相应调整，形成《统计上大中小微型企业划分办法（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）》。现将《统计上大中小微型企业划分办法（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）》印发给你们，请在统计工作中认真贯彻执行。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w:t>
      </w:r>
      <w:r>
        <w:rPr>
          <w:rFonts w:ascii="宋体" w:hAnsi="宋体" w:cs="宋体" w:hint="eastAsia"/>
          <w:color w:val="auto"/>
          <w:sz w:val="21"/>
          <w:szCs w:val="21"/>
          <w:highlight w:val="none"/>
        </w:rPr>
        <w:t>附件：《统计上大中小微型企业划分办法（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）》修订说明</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国家统计局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2017</w:t>
      </w:r>
      <w:r>
        <w:rPr>
          <w:rFonts w:ascii="宋体" w:hAnsi="宋体" w:cs="宋体" w:hint="eastAsia"/>
          <w:color w:val="auto"/>
          <w:sz w:val="21"/>
          <w:szCs w:val="21"/>
          <w:highlight w:val="none"/>
        </w:rPr>
        <w:t>年</w:t>
      </w:r>
      <w:r>
        <w:rPr>
          <w:rFonts w:ascii="宋体" w:hAnsi="宋体" w:cs="宋体"/>
          <w:color w:val="auto"/>
          <w:sz w:val="21"/>
          <w:szCs w:val="21"/>
          <w:highlight w:val="none"/>
        </w:rPr>
        <w:t>12</w:t>
      </w:r>
      <w:r>
        <w:rPr>
          <w:rFonts w:ascii="宋体" w:hAnsi="宋体" w:cs="宋体" w:hint="eastAsia"/>
          <w:color w:val="auto"/>
          <w:sz w:val="21"/>
          <w:szCs w:val="21"/>
          <w:highlight w:val="none"/>
        </w:rPr>
        <w:t>月</w:t>
      </w:r>
      <w:r>
        <w:rPr>
          <w:rFonts w:ascii="宋体" w:hAnsi="宋体" w:cs="宋体"/>
          <w:color w:val="auto"/>
          <w:sz w:val="21"/>
          <w:szCs w:val="21"/>
          <w:highlight w:val="none"/>
        </w:rPr>
        <w:t>28</w:t>
      </w:r>
      <w:r>
        <w:rPr>
          <w:rFonts w:ascii="宋体" w:hAnsi="宋体" w:cs="宋体" w:hint="eastAsia"/>
          <w:color w:val="auto"/>
          <w:sz w:val="21"/>
          <w:szCs w:val="21"/>
          <w:highlight w:val="none"/>
        </w:rPr>
        <w:t>日</w:t>
      </w:r>
    </w:p>
    <w:p>
      <w:pPr>
        <w:pStyle w:val="NormalWeb"/>
        <w:spacing w:line="440" w:lineRule="exact"/>
        <w:jc w:val="center"/>
        <w:rPr>
          <w:rFonts w:ascii="宋体" w:hAnsi="宋体" w:cs="宋体"/>
          <w:color w:val="auto"/>
          <w:highlight w:val="none"/>
        </w:rPr>
      </w:pPr>
      <w:r>
        <w:rPr>
          <w:rFonts w:ascii="宋体" w:hAnsi="宋体" w:cs="宋体" w:hint="eastAsia"/>
          <w:b/>
          <w:color w:val="auto"/>
          <w:highlight w:val="none"/>
        </w:rPr>
        <w:t>统计上大中小微型企业划分办法（2017）</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一、根据工业和信息化部、国家统计局、国家发展改革委、财政部《关于印发中小企业划型标准规定的通知》（工信部联企业〔</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300</w:t>
      </w:r>
      <w:r>
        <w:rPr>
          <w:rFonts w:ascii="宋体" w:hAnsi="宋体" w:cs="宋体" w:hint="eastAsia"/>
          <w:color w:val="auto"/>
          <w:sz w:val="21"/>
          <w:szCs w:val="21"/>
          <w:highlight w:val="none"/>
        </w:rPr>
        <w:t>号），以《国民经济行业分类》（</w:t>
      </w:r>
      <w:r>
        <w:rPr>
          <w:rFonts w:ascii="宋体" w:hAnsi="宋体" w:cs="宋体"/>
          <w:color w:val="auto"/>
          <w:sz w:val="21"/>
          <w:szCs w:val="21"/>
          <w:highlight w:val="none"/>
        </w:rPr>
        <w:t>GB/T4754-2017</w:t>
      </w:r>
      <w:r>
        <w:rPr>
          <w:rFonts w:ascii="宋体" w:hAnsi="宋体" w:cs="宋体" w:hint="eastAsia"/>
          <w:color w:val="auto"/>
          <w:sz w:val="21"/>
          <w:szCs w:val="21"/>
          <w:highlight w:val="none"/>
        </w:rPr>
        <w:t>）为基础，结合统计工作的实际情况，制定本办法。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二、本办法适用对象为在中华人民共和国境内依法设立的各种组织形式的法人企业或单位。个体工商户参照本办法进行划分。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color w:val="auto"/>
          <w:sz w:val="21"/>
          <w:szCs w:val="21"/>
          <w:highlight w:val="none"/>
        </w:rPr>
        <w:t>15</w:t>
      </w:r>
      <w:r>
        <w:rPr>
          <w:rFonts w:ascii="宋体" w:hAnsi="宋体" w:cs="宋体" w:hint="eastAsia"/>
          <w:color w:val="auto"/>
          <w:sz w:val="21"/>
          <w:szCs w:val="21"/>
          <w:highlight w:val="none"/>
        </w:rPr>
        <w:t>个行业门类以及社会工作行业大类。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五、企业划分由政府综合统计部门根据统计年报每年确定一次，定报统计原则上不进行调整。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六、本办法自印发之日起执行，国家统计局</w:t>
      </w:r>
      <w:r>
        <w:rPr>
          <w:rFonts w:ascii="宋体" w:hAnsi="宋体" w:cs="宋体"/>
          <w:color w:val="auto"/>
          <w:sz w:val="21"/>
          <w:szCs w:val="21"/>
          <w:highlight w:val="none"/>
        </w:rPr>
        <w:t>2011</w:t>
      </w:r>
      <w:r>
        <w:rPr>
          <w:rFonts w:ascii="宋体" w:hAnsi="宋体" w:cs="宋体" w:hint="eastAsia"/>
          <w:color w:val="auto"/>
          <w:sz w:val="21"/>
          <w:szCs w:val="21"/>
          <w:highlight w:val="none"/>
        </w:rPr>
        <w:t>年印发的《统计上大中小微型企业划分办法》（国统字〔</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75</w:t>
      </w:r>
      <w:r>
        <w:rPr>
          <w:rFonts w:ascii="宋体" w:hAnsi="宋体" w:cs="宋体" w:hint="eastAsia"/>
          <w:color w:val="auto"/>
          <w:sz w:val="21"/>
          <w:szCs w:val="21"/>
          <w:highlight w:val="none"/>
        </w:rPr>
        <w:t>号）同时废止。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附表：统计上大中小微型企业划分标准</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附表</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统计上大中小微型企业划分标准</w:t>
      </w:r>
    </w:p>
    <w:tbl>
      <w:tblPr>
        <w:tblStyle w:val="TableNormal"/>
        <w:tblpPr w:leftFromText="180" w:rightFromText="180" w:vertAnchor="text" w:horzAnchor="page" w:tblpX="1334" w:tblpY="456"/>
        <w:tblOverlap w:val="never"/>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0"/>
        <w:gridCol w:w="1238"/>
        <w:gridCol w:w="641"/>
        <w:gridCol w:w="1017"/>
        <w:gridCol w:w="1537"/>
        <w:gridCol w:w="1289"/>
        <w:gridCol w:w="897"/>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622"/>
        </w:trPr>
        <w:tc>
          <w:tcPr>
            <w:tcW w:w="1910" w:type="dxa"/>
            <w:tcBorders>
              <w:tl2br w:val="nil"/>
              <w:tr2bl w:val="nil"/>
            </w:tcBorders>
            <w:shd w:val="clear" w:color="auto" w:fill="auto"/>
            <w:vAlign w:val="center"/>
          </w:tcPr>
          <w:p>
            <w:pPr>
              <w:spacing w:line="240" w:lineRule="exact"/>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行业名称</w:t>
            </w:r>
          </w:p>
        </w:tc>
        <w:tc>
          <w:tcPr>
            <w:tcW w:w="1238"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指标名称</w:t>
            </w:r>
          </w:p>
        </w:tc>
        <w:tc>
          <w:tcPr>
            <w:tcW w:w="641"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计量</w:t>
            </w:r>
            <w:r>
              <w:rPr>
                <w:rFonts w:ascii="宋体" w:hAnsi="宋体" w:cs="宋体" w:hint="eastAsia"/>
                <w:b/>
                <w:bCs/>
                <w:color w:val="auto"/>
                <w:kern w:val="0"/>
                <w:sz w:val="18"/>
                <w:szCs w:val="18"/>
                <w:highlight w:val="none"/>
              </w:rPr>
              <w:br/>
            </w:r>
            <w:r>
              <w:rPr>
                <w:rFonts w:ascii="宋体" w:hAnsi="宋体" w:cs="宋体" w:hint="eastAsia"/>
                <w:b/>
                <w:bCs/>
                <w:color w:val="auto"/>
                <w:kern w:val="0"/>
                <w:sz w:val="18"/>
                <w:szCs w:val="18"/>
                <w:highlight w:val="none"/>
              </w:rPr>
              <w:t>单位</w:t>
            </w:r>
          </w:p>
        </w:tc>
        <w:tc>
          <w:tcPr>
            <w:tcW w:w="101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大型</w:t>
            </w:r>
          </w:p>
        </w:tc>
        <w:tc>
          <w:tcPr>
            <w:tcW w:w="153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中型</w:t>
            </w:r>
          </w:p>
        </w:tc>
        <w:tc>
          <w:tcPr>
            <w:tcW w:w="1289"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小型</w:t>
            </w:r>
          </w:p>
        </w:tc>
        <w:tc>
          <w:tcPr>
            <w:tcW w:w="89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微型</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农、林、牧、渔业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50≤Y＜500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工业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2000≤Y＜40000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建筑业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6000≤Y＜80000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300≤Y＜6000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300≤Z＜5000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批发业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5≤X＜20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X＜5</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5000≤Y＜40000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零售业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50≤X＜300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10≤X＜50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100≤Y＜500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交通运输业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200≤Y＜3000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仓储业*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邮政业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住宿业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餐饮业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信息传输业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1000≤Y＜100000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spacing w:val="-12"/>
                <w:kern w:val="0"/>
                <w:sz w:val="18"/>
                <w:szCs w:val="18"/>
                <w:highlight w:val="none"/>
              </w:rPr>
            </w:pPr>
            <w:r>
              <w:rPr>
                <w:rFonts w:ascii="宋体" w:hAnsi="宋体" w:cs="宋体" w:hint="eastAsia"/>
                <w:color w:val="auto"/>
                <w:spacing w:val="-12"/>
                <w:kern w:val="0"/>
                <w:sz w:val="18"/>
                <w:szCs w:val="18"/>
                <w:highlight w:val="none"/>
              </w:rPr>
              <w:t>软件和信息技术服</w:t>
            </w:r>
            <w:r>
              <w:rPr>
                <w:rFonts w:ascii="宋体" w:hAnsi="宋体" w:cs="宋体" w:hint="eastAsia"/>
                <w:color w:val="auto"/>
                <w:kern w:val="0"/>
                <w:sz w:val="18"/>
                <w:szCs w:val="18"/>
                <w:highlight w:val="none"/>
              </w:rPr>
              <w:t>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spacing w:val="-12"/>
                <w:kern w:val="0"/>
                <w:sz w:val="18"/>
                <w:szCs w:val="18"/>
                <w:highlight w:val="none"/>
              </w:rPr>
            </w:pP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房地产开发经营</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1000≤Y＜200000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2000≤Z＜5000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Z＜2000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物业管理</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1000≤Y＜5000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租赁和商务服务业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8000≤Z＜120000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100≤Z＜8000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其他未列明行业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bl>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1.大型、中型和小型企业须同时满足所列指标的下限，否则下划一档；微型企业只须满足所列指标中的一项即可。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color w:val="auto"/>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附件</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《统计上大中小微型企业划分办法（2017）》修订说明</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一、修订背景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二、修订主要内容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将交通运输业中包括的“装卸搬运和运输代理业”修改为“多式联运和运输代理业、装卸搬运”。</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仓储业所包括的行业中类，根据《国民经济行业分类》（GB/T 4754—2017）调整为“通用仓储，低温仓储，危险品仓储，谷物、棉花等农产品仓储，中药材仓储和其他仓储业”。</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Fonts w:ascii="宋体" w:hAnsi="宋体" w:cs="宋体"/>
          <w:color w:val="auto"/>
          <w:sz w:val="21"/>
          <w:szCs w:val="21"/>
          <w:highlight w:val="none"/>
        </w:rPr>
      </w:pPr>
      <w:r>
        <w:rPr>
          <w:rFonts w:ascii="宋体" w:hAnsi="宋体" w:cs="宋体" w:hint="eastAsia"/>
          <w:b/>
          <w:bCs/>
          <w:color w:val="auto"/>
          <w:sz w:val="28"/>
          <w:szCs w:val="28"/>
          <w:highlight w:val="none"/>
        </w:rPr>
        <w:t>关于促进残疾人就业政府采购政策的通知</w:t>
      </w:r>
      <w:r>
        <w:rPr>
          <w:rFonts w:ascii="宋体" w:hAnsi="宋体" w:cs="宋体" w:hint="eastAsia"/>
          <w:b/>
          <w:bCs/>
          <w:color w:val="auto"/>
          <w:sz w:val="28"/>
          <w:szCs w:val="28"/>
          <w:highlight w:val="none"/>
        </w:rPr>
        <w:br/>
      </w:r>
      <w:r>
        <w:rPr>
          <w:rFonts w:ascii="宋体" w:hAnsi="宋体" w:cs="宋体" w:hint="eastAsia"/>
          <w:color w:val="auto"/>
          <w:sz w:val="21"/>
          <w:szCs w:val="21"/>
          <w:highlight w:val="none"/>
        </w:rPr>
        <w:t>财库〔2017〕141号</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一、享受政府采购支持政策的残疾人福利性单位应当同时满足以下条件：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（一）安置的残疾人占本单位在职职工人数的比例不低于25%（含25%），并且安置的残疾人人数不少于10人（含10人）；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（二）依法与安置的每位残疾人签订了一年以上（含一年）的劳动合同或服务协议；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（三）为安置的每位残疾人按月足额缴纳了基本养老保险、基本医疗保险、失业保险、工伤保险和生育保险等社会保险费；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（四）通过银行等金融机构向安置的每位残疾人，按月支付了不低于单位所在区县适用的经省级人民政府批准的月最低工资标准的工资；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中标、成交供应商为残疾人福利性单位的，采购人或者其委托的采购代理机构应当随中标、成交结果同时公告其《残疾人福利性单位声明函》，接受社会监督。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供应商提供的《残疾人福利性单位声明函》与事实不符的，依照《政府采购法》第七十七条第一款的规定追究法律责任。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四、采购人采购公开招标数额标准以上的货物或者服务，因落实促进残疾人就业政策的需要，依法履行有关报批程序后，可采用公开招标以外的采购方式。</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七、本通知自2017年10月1日起执行。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附件：</w:t>
      </w:r>
      <w:r>
        <w:rPr>
          <w:color w:val="auto"/>
          <w:highlight w:val="none"/>
        </w:rPr>
        <w:fldChar w:fldCharType="begin"/>
      </w:r>
      <w:r>
        <w:rPr>
          <w:color w:val="auto"/>
          <w:highlight w:val="none"/>
        </w:rPr>
        <w:instrText xml:space="preserve"> HYPERLINK "http://www.gov.cn/xinwen/2017-09/02/5222181/files/f1ba446ff1d041aab7b557a51912d058.docx" \t "http://www.gov.cn/xinwen/2017-09/02/_blank" </w:instrText>
      </w:r>
      <w:r>
        <w:rPr>
          <w:color w:val="auto"/>
          <w:highlight w:val="none"/>
        </w:rPr>
        <w:fldChar w:fldCharType="separate"/>
      </w:r>
      <w:r>
        <w:rPr>
          <w:rFonts w:ascii="宋体" w:hAnsi="宋体" w:cs="宋体" w:hint="eastAsia"/>
          <w:color w:val="auto"/>
          <w:sz w:val="21"/>
          <w:szCs w:val="21"/>
          <w:highlight w:val="none"/>
        </w:rPr>
        <w:t>残疾人福利性单位声明函</w:t>
      </w:r>
      <w:r>
        <w:rPr>
          <w:rFonts w:ascii="宋体" w:hAnsi="宋体" w:cs="宋体" w:hint="eastAsia"/>
          <w:color w:val="auto"/>
          <w:sz w:val="21"/>
          <w:szCs w:val="21"/>
          <w:highlight w:val="none"/>
        </w:rPr>
        <w:fldChar w:fldCharType="end"/>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财政部 民政部 中国残疾人联合会</w:t>
      </w:r>
      <w:r>
        <w:rPr>
          <w:rFonts w:ascii="宋体" w:hAnsi="宋体" w:cs="宋体" w:hint="eastAsia"/>
          <w:color w:val="auto"/>
          <w:sz w:val="21"/>
          <w:szCs w:val="21"/>
          <w:highlight w:val="none"/>
        </w:rPr>
        <w:br/>
      </w:r>
      <w:r>
        <w:rPr>
          <w:rFonts w:ascii="宋体" w:hAnsi="宋体" w:cs="宋体" w:hint="eastAsia"/>
          <w:color w:val="auto"/>
          <w:sz w:val="21"/>
          <w:szCs w:val="21"/>
          <w:highlight w:val="none"/>
        </w:rPr>
        <w:t>2017年8月22日</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p>
    <w:p>
      <w:pPr>
        <w:spacing w:line="360" w:lineRule="exact"/>
        <w:rPr>
          <w:rFonts w:ascii="宋体" w:hAnsi="宋体"/>
          <w:bCs/>
          <w:color w:val="auto"/>
          <w:szCs w:val="21"/>
          <w:highlight w:val="none"/>
        </w:rPr>
      </w:pPr>
    </w:p>
    <w:p>
      <w:pPr>
        <w:spacing w:line="360" w:lineRule="exact"/>
        <w:rPr>
          <w:rFonts w:ascii="宋体" w:hAnsi="宋体"/>
          <w:bCs/>
          <w:color w:val="auto"/>
          <w:szCs w:val="21"/>
          <w:highlight w:val="none"/>
        </w:rPr>
      </w:pPr>
    </w:p>
    <w:p>
      <w:pPr>
        <w:spacing w:line="440" w:lineRule="exact"/>
        <w:rPr>
          <w:rFonts w:asciiTheme="majorEastAsia" w:eastAsiaTheme="majorEastAsia" w:hAnsiTheme="majorEastAsia" w:cstheme="majorEastAsia"/>
          <w:color w:val="auto"/>
          <w:szCs w:val="21"/>
          <w:highlight w:val="none"/>
        </w:rPr>
      </w:pPr>
    </w:p>
    <w:p>
      <w:pPr>
        <w:spacing w:line="440" w:lineRule="exact"/>
        <w:ind w:firstLine="420"/>
        <w:rPr>
          <w:rFonts w:asciiTheme="majorEastAsia" w:eastAsiaTheme="majorEastAsia" w:hAnsiTheme="majorEastAsia" w:cstheme="majorEastAsia"/>
          <w:color w:val="auto"/>
          <w:szCs w:val="21"/>
          <w:highlight w:val="none"/>
        </w:rPr>
      </w:pPr>
    </w:p>
    <w:sectPr>
      <w:footerReference w:type="default" r:id="rId11"/>
      <w:footerReference w:type="first" r:id="rId12"/>
      <w:pgSz w:w="11907" w:h="16840"/>
      <w:pgMar w:top="1440" w:right="1797" w:bottom="1440" w:left="1797" w:header="851" w:footer="992" w:gutter="0"/>
      <w:pgNumType w:start="1"/>
      <w:cols w:num="1" w:space="425"/>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rPr>
                            <w:t>1</w:t>
                          </w:r>
                          <w:r>
                            <w:rPr>
                              <w:rFonts w:asciiTheme="minorEastAsia" w:eastAsiaTheme="minorEastAsia" w:hAnsiTheme="minorEastAsia" w:cstheme="minorEastAsia"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2050"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rPr>
                      <w:t>1</w:t>
                    </w:r>
                    <w:r>
                      <w:rPr>
                        <w:rFonts w:asciiTheme="minorEastAsia" w:eastAsiaTheme="minorEastAsia" w:hAnsiTheme="minorEastAsia" w:cstheme="minorEastAsia"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2049" type="#_x0000_t202" style="height:2in;margin-left:0;margin-top:0;mso-height-relative:page;mso-position-horizontal:center;mso-position-horizontal-relative:margin;mso-width-relative:page;mso-wrap-style:none;position:absolute;width:2in;z-index:251661312"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left"/>
    </w:pPr>
    <w:r>
      <w:rPr>
        <w:rFonts w:hint="eastAsia"/>
      </w:rPr>
      <w:t>国内公开招标文件（政府采购）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90962F"/>
    <w:multiLevelType w:val="singleLevel"/>
    <w:tmpl w:val="8A90962F"/>
    <w:lvl w:ilvl="0">
      <w:start w:val="1"/>
      <w:numFmt w:val="chineseCounting"/>
      <w:suff w:val="nothing"/>
      <w:lvlText w:val="（%1）"/>
      <w:lvlJc w:val="left"/>
      <w:pPr>
        <w:ind w:left="0" w:firstLine="420"/>
      </w:pPr>
      <w:rPr>
        <w:rFonts w:hint="eastAsia"/>
      </w:rPr>
    </w:lvl>
  </w:abstractNum>
  <w:abstractNum w:abstractNumId="1">
    <w:nsid w:val="BFCC562F"/>
    <w:multiLevelType w:val="singleLevel"/>
    <w:tmpl w:val="BFCC562F"/>
    <w:lvl w:ilvl="0">
      <w:start w:val="1"/>
      <w:numFmt w:val="chineseCounting"/>
      <w:suff w:val="nothing"/>
      <w:lvlText w:val="（%1）"/>
      <w:lvlJc w:val="left"/>
      <w:rPr>
        <w:rFonts w:hint="eastAsia"/>
      </w:rPr>
    </w:lvl>
  </w:abstractNum>
  <w:abstractNum w:abstractNumId="2">
    <w:nsid w:val="D1FB17B5"/>
    <w:multiLevelType w:val="singleLevel"/>
    <w:tmpl w:val="D1FB17B5"/>
    <w:lvl w:ilvl="0">
      <w:start w:val="1"/>
      <w:numFmt w:val="chineseCounting"/>
      <w:suff w:val="nothing"/>
      <w:lvlText w:val="（%1）"/>
      <w:lvlJc w:val="left"/>
      <w:pPr>
        <w:ind w:left="0" w:firstLine="420"/>
      </w:pPr>
      <w:rPr>
        <w:rFonts w:hint="eastAsia"/>
      </w:rPr>
    </w:lvl>
  </w:abstractNum>
  <w:abstractNum w:abstractNumId="3">
    <w:nsid w:val="F9EAB6E1"/>
    <w:multiLevelType w:val="singleLevel"/>
    <w:tmpl w:val="F9EAB6E1"/>
    <w:lvl w:ilvl="0">
      <w:start w:val="2"/>
      <w:numFmt w:val="chineseCounting"/>
      <w:suff w:val="nothing"/>
      <w:lvlText w:val="%1、"/>
      <w:lvlJc w:val="left"/>
      <w:rPr>
        <w:rFonts w:hint="eastAsia"/>
      </w:rPr>
    </w:lvl>
  </w:abstractNum>
  <w:abstractNum w:abstractNumId="4">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5">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6">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0035F9C"/>
    <w:multiLevelType w:val="singleLevel"/>
    <w:tmpl w:val="10035F9C"/>
    <w:lvl w:ilvl="0">
      <w:start w:val="1"/>
      <w:numFmt w:val="decimal"/>
      <w:lvlText w:val="%1."/>
      <w:lvlJc w:val="left"/>
      <w:pPr>
        <w:tabs>
          <w:tab w:val="left" w:pos="312"/>
        </w:tabs>
      </w:pPr>
    </w:lvl>
  </w:abstractNum>
  <w:abstractNum w:abstractNumId="8">
    <w:nsid w:val="12503483"/>
    <w:multiLevelType w:val="multilevel"/>
    <w:tmpl w:val="12503483"/>
    <w:lvl w:ilvl="0">
      <w:start w:val="1"/>
      <w:numFmt w:val="bullet"/>
      <w:pStyle w:val="a5"/>
      <w:lvlText w:val=""/>
      <w:lvlJc w:val="left"/>
      <w:pPr>
        <w:tabs>
          <w:tab w:val="left" w:pos="420"/>
        </w:tabs>
        <w:ind w:left="420" w:hanging="420"/>
      </w:pPr>
      <w:rPr>
        <w:rFonts w:ascii="Wingdings" w:hAnsi="Wingdings" w:hint="default"/>
      </w:rPr>
    </w:lvl>
    <w:lvl w:ilvl="1">
      <w:start w:val="1"/>
      <w:numFmt w:val="bullet"/>
      <w:pStyle w:val="a4"/>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15147C1C"/>
    <w:multiLevelType w:val="singleLevel"/>
    <w:tmpl w:val="15147C1C"/>
    <w:lvl w:ilvl="0">
      <w:start w:val="1"/>
      <w:numFmt w:val="decimal"/>
      <w:lvlText w:val="(%1)"/>
      <w:lvlJc w:val="left"/>
      <w:pPr>
        <w:ind w:left="425" w:hanging="425"/>
      </w:pPr>
      <w:rPr>
        <w:rFonts w:hint="default"/>
      </w:rPr>
    </w:lvl>
  </w:abstractNum>
  <w:abstractNum w:abstractNumId="1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3"/>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FF17ACA"/>
    <w:multiLevelType w:val="singleLevel"/>
    <w:tmpl w:val="7FF17ACA"/>
    <w:lvl w:ilvl="0">
      <w:start w:val="1"/>
      <w:numFmt w:val="decimal"/>
      <w:lvlText w:val="(%1)"/>
      <w:lvlJc w:val="left"/>
      <w:pPr>
        <w:ind w:left="425" w:hanging="425"/>
      </w:pPr>
      <w:rPr>
        <w:rFonts w:hint="default"/>
      </w:rPr>
    </w:lvl>
  </w:abstractNum>
  <w:num w:numId="1">
    <w:abstractNumId w:val="5"/>
  </w:num>
  <w:num w:numId="2">
    <w:abstractNumId w:val="4"/>
  </w:num>
  <w:num w:numId="3">
    <w:abstractNumId w:val="10"/>
  </w:num>
  <w:num w:numId="4">
    <w:abstractNumId w:val="8"/>
  </w:num>
  <w:num w:numId="5">
    <w:abstractNumId w:val="12"/>
  </w:num>
  <w:num w:numId="6">
    <w:abstractNumId w:val="11"/>
  </w:num>
  <w:num w:numId="7">
    <w:abstractNumId w:val="1"/>
  </w:num>
  <w:num w:numId="8">
    <w:abstractNumId w:val="3"/>
  </w:num>
  <w:num w:numId="9">
    <w:abstractNumId w:val="9"/>
  </w:num>
  <w:num w:numId="10">
    <w:abstractNumId w:val="13"/>
  </w:num>
  <w:num w:numId="11">
    <w:abstractNumId w:val="7"/>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WIxZTg3YzE0MjE3OTJmNGVkZjY2MjNjZjJlNz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qFormat="1"/>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semiHidden="0" w:uiPriority="0" w:unhideWhenUsed="0" w:qFormat="1"/>
    <w:lsdException w:name="HTML Sample" w:uiPriority="0" w:qFormat="1"/>
    <w:lsdException w:name="HTML Typewriter" w:uiPriority="0" w:qFormat="1"/>
    <w:lsdException w:name="HTML Variable" w:uiPriority="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FirstIndent2"/>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
    <w:qFormat/>
    <w:pPr>
      <w:spacing w:before="0" w:after="0"/>
      <w:jc w:val="center"/>
      <w:outlineLvl w:val="0"/>
    </w:pPr>
    <w:rPr>
      <w:rFonts w:ascii="黑体" w:eastAsia="黑体" w:hAnsi="黑体"/>
      <w:b w:val="0"/>
      <w:kern w:val="44"/>
      <w:sz w:val="36"/>
      <w:szCs w:val="36"/>
    </w:rPr>
  </w:style>
  <w:style w:type="paragraph" w:styleId="Heading2">
    <w:name w:val="heading 2"/>
    <w:basedOn w:val="Normal"/>
    <w:next w:val="Normal"/>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FirstIndent2">
    <w:name w:val="Body Text First Indent 2"/>
    <w:basedOn w:val="BodyTextIndent"/>
    <w:qFormat/>
    <w:pPr>
      <w:widowControl w:val="0"/>
      <w:spacing w:after="120" w:line="240" w:lineRule="auto"/>
      <w:ind w:left="420" w:firstLine="420" w:leftChars="200" w:firstLineChars="200"/>
      <w:jc w:val="both"/>
    </w:pPr>
    <w:rPr>
      <w:rFonts w:ascii="Times New Roman" w:eastAsia="仿宋_GB2312" w:hAnsi="Times New Roman" w:cs="Times New Roman"/>
      <w:kern w:val="0"/>
      <w:sz w:val="32"/>
      <w:szCs w:val="24"/>
      <w:lang w:val="en-US" w:eastAsia="zh-CN" w:bidi="ar-SA"/>
    </w:rPr>
  </w:style>
  <w:style w:type="paragraph" w:styleId="BodyTextIndent">
    <w:name w:val="Body Text Indent"/>
    <w:basedOn w:val="Normal"/>
    <w:next w:val="Default"/>
    <w:link w:val="Char1"/>
    <w:qFormat/>
    <w:pPr>
      <w:spacing w:line="360" w:lineRule="auto"/>
      <w:ind w:firstLine="420" w:firstLineChars="200"/>
    </w:p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styleId="NormalIndent">
    <w:name w:val="Normal Indent"/>
    <w:basedOn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
    <w:name w:val="Body Text"/>
    <w:basedOn w:val="Normal"/>
    <w:next w:val="Normal"/>
    <w:link w:val="Char7"/>
    <w:qFormat/>
    <w:pPr>
      <w:spacing w:line="360" w:lineRule="auto"/>
    </w:pPr>
    <w:rPr>
      <w:b/>
      <w:bCs/>
      <w:sz w:val="24"/>
    </w:r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BodyText2">
    <w:name w:val="Body Text 2"/>
    <w:basedOn w:val="Normal"/>
    <w:link w:val="2Char1"/>
    <w:qFormat/>
    <w:pPr>
      <w:spacing w:line="360" w:lineRule="auto"/>
    </w:pPr>
    <w:rPr>
      <w:sz w:val="24"/>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b/>
      <w:bCs/>
    </w:rPr>
  </w:style>
  <w:style w:type="character" w:styleId="HTMLDefinition">
    <w:name w:val="HTML Definition"/>
    <w:basedOn w:val="DefaultParagraphFont"/>
    <w:semiHidden/>
    <w:unhideWhenUsed/>
    <w:qFormat/>
  </w:style>
  <w:style w:type="character" w:styleId="HTMLTypewriter">
    <w:name w:val="HTML Typewriter"/>
    <w:basedOn w:val="DefaultParagraphFont"/>
    <w:semiHidden/>
    <w:unhideWhenUsed/>
    <w:qFormat/>
    <w:rPr>
      <w:rFonts w:ascii="monospace" w:eastAsia="monospace" w:hAnsi="monospace" w:cs="monospace" w:hint="default"/>
      <w:sz w:val="20"/>
    </w:rPr>
  </w:style>
  <w:style w:type="character" w:styleId="HTMLAcronym">
    <w:name w:val="HTML Acronym"/>
    <w:basedOn w:val="DefaultParagraphFont"/>
    <w:semiHidden/>
    <w:unhideWhenUsed/>
    <w:qFormat/>
    <w:rPr>
      <w:bdr w:val="nil"/>
    </w:rPr>
  </w:style>
  <w:style w:type="character" w:styleId="HTMLVariable">
    <w:name w:val="HTML Variable"/>
    <w:basedOn w:val="DefaultParagraphFont"/>
    <w:semiHidden/>
    <w:unhideWhenUsed/>
    <w:qFormat/>
  </w:style>
  <w:style w:type="character" w:styleId="Hyperlink">
    <w:name w:val="Hyperlink"/>
    <w:basedOn w:val="DefaultParagraphFont"/>
    <w:qFormat/>
    <w:rPr>
      <w:color w:val="0000FF"/>
      <w:u w:val="single"/>
    </w:rPr>
  </w:style>
  <w:style w:type="character" w:styleId="HTMLCode">
    <w:name w:val="HTML Code"/>
    <w:basedOn w:val="DefaultParagraphFont"/>
    <w:semiHidden/>
    <w:unhideWhenUsed/>
    <w:qFormat/>
    <w:rPr>
      <w:rFonts w:ascii="monospace" w:eastAsia="monospace" w:hAnsi="monospace" w:cs="monospace"/>
      <w:sz w:val="20"/>
    </w:rPr>
  </w:style>
  <w:style w:type="character" w:styleId="CommentReference">
    <w:name w:val="annotation reference"/>
    <w:basedOn w:val="DefaultParagraphFont"/>
    <w:qFormat/>
    <w:rPr>
      <w:sz w:val="21"/>
      <w:szCs w:val="21"/>
    </w:rPr>
  </w:style>
  <w:style w:type="character" w:styleId="HTMLCite">
    <w:name w:val="HTML Cite"/>
    <w:basedOn w:val="DefaultParagraphFont"/>
    <w:semiHidden/>
    <w:unhideWhenUsed/>
    <w:qFormat/>
  </w:style>
  <w:style w:type="character" w:styleId="HTMLKeyboard">
    <w:name w:val="HTML Keyboard"/>
    <w:basedOn w:val="DefaultParagraphFont"/>
    <w:semiHidden/>
    <w:unhideWhenUsed/>
    <w:qFormat/>
    <w:rPr>
      <w:rFonts w:ascii="monospace" w:eastAsia="monospace" w:hAnsi="monospace" w:cs="monospace" w:hint="default"/>
      <w:sz w:val="20"/>
    </w:rPr>
  </w:style>
  <w:style w:type="character" w:styleId="HTMLSample">
    <w:name w:val="HTML Sample"/>
    <w:basedOn w:val="DefaultParagraphFont"/>
    <w:semiHidden/>
    <w:unhideWhenUsed/>
    <w:qFormat/>
    <w:rPr>
      <w:rFonts w:ascii="monospace" w:eastAsia="monospace" w:hAnsi="monospace" w:cs="monospace" w:hint="default"/>
    </w:rPr>
  </w:style>
  <w:style w:type="character" w:customStyle="1" w:styleId="4Char">
    <w:name w:val="标题 4 Char"/>
    <w:link w:val="Heading4"/>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黑体" w:eastAsia="黑体" w:hAnsi="黑体"/>
      <w:bCs/>
      <w:kern w:val="44"/>
      <w:sz w:val="36"/>
      <w:szCs w:val="36"/>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0">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1">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2">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3">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4">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5">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6">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7">
    <w:name w:val="缺省文本"/>
    <w:basedOn w:val="Normal"/>
    <w:qFormat/>
    <w:pPr>
      <w:autoSpaceDE w:val="0"/>
      <w:autoSpaceDN w:val="0"/>
      <w:adjustRightInd w:val="0"/>
      <w:jc w:val="left"/>
    </w:pPr>
    <w:rPr>
      <w:kern w:val="0"/>
    </w:rPr>
  </w:style>
  <w:style w:type="paragraph" w:customStyle="1" w:styleId="a8">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9">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0">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1">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12">
    <w:name w:val="姜文清定义的正文"/>
    <w:basedOn w:val="Normal"/>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5">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6">
    <w:name w:val="表格字"/>
    <w:basedOn w:val="Normal"/>
    <w:qFormat/>
    <w:pPr>
      <w:adjustRightInd w:val="0"/>
      <w:jc w:val="center"/>
    </w:pPr>
    <w:rPr>
      <w:rFonts w:ascii="宋体"/>
      <w:sz w:val="24"/>
      <w:szCs w:val="20"/>
    </w:rPr>
  </w:style>
  <w:style w:type="character" w:customStyle="1" w:styleId="a17">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8">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8"/>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qFormat/>
    <w:rPr>
      <w:rFonts w:ascii="宋体"/>
      <w:sz w:val="34"/>
    </w:rPr>
  </w:style>
  <w:style w:type="character" w:customStyle="1" w:styleId="Char17">
    <w:name w:val="批注主题 Char"/>
    <w:basedOn w:val="Char16"/>
    <w:link w:val="CommentSubject"/>
    <w:qFormat/>
    <w:rPr>
      <w:rFonts w:ascii="宋体"/>
      <w:sz w:val="34"/>
    </w:rPr>
  </w:style>
  <w:style w:type="paragraph" w:customStyle="1" w:styleId="a19">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hover">
    <w:name w:val="hover"/>
    <w:basedOn w:val="DefaultParagraphFont"/>
    <w:qFormat/>
    <w:rPr>
      <w:color w:val="2590EB"/>
      <w:shd w:val="clear" w:color="auto" w:fill="E9F4FD"/>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hover4">
    <w:name w:val="hover4"/>
    <w:basedOn w:val="DefaultParagraphFont"/>
    <w:qFormat/>
  </w:style>
  <w:style w:type="paragraph" w:customStyle="1" w:styleId="14">
    <w:name w:val="正文1"/>
    <w:qFormat/>
    <w:pPr>
      <w:widowControl w:val="0"/>
      <w:adjustRightInd w:val="0"/>
      <w:spacing w:line="360" w:lineRule="atLeast"/>
      <w:textAlignment w:val="baseline"/>
    </w:pPr>
    <w:rPr>
      <w:rFonts w:ascii="宋体" w:eastAsia="宋体" w:hAnsi="Times New Roman" w:cs="Calibri"/>
      <w:sz w:val="24"/>
      <w:lang w:val="en-US" w:eastAsia="zh-CN" w:bidi="ar-SA"/>
    </w:rPr>
  </w:style>
  <w:style w:type="character" w:customStyle="1" w:styleId="mini-outputtext1">
    <w:name w:val="mini-outputtex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46531</Words>
  <Characters>49820</Characters>
  <Application>Microsoft Office Word</Application>
  <DocSecurity>0</DocSecurity>
  <Lines>404</Lines>
  <Paragraphs>113</Paragraphs>
  <ScaleCrop>false</ScaleCrop>
  <Company>Microsoft</Company>
  <LinksUpToDate>false</LinksUpToDate>
  <CharactersWithSpaces>55050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王文乐</cp:lastModifiedBy>
  <cp:revision>93</cp:revision>
  <cp:lastPrinted>2018-11-06T17:21:00Z</cp:lastPrinted>
  <dcterms:created xsi:type="dcterms:W3CDTF">2019-10-30T09:24:00Z</dcterms:created>
  <dcterms:modified xsi:type="dcterms:W3CDTF">2023-12-15T06:44:49Z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F3705BDA7CDB440FA0E1A256E6D7239B</vt:lpwstr>
  </property>
  <property fmtid="{D5CDD505-2E9C-101B-9397-08002B2CF9AE}" pid="3" name="KSOProductBuildVer">
    <vt:lpwstr>2052-12.1.0.15990</vt:lpwstr>
  </property>
</Properties>
</file>