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ascii="微软雅黑" w:hAnsi="微软雅黑" w:eastAsia="微软雅黑" w:cs="微软雅黑"/>
          <w:b/>
          <w:color w:val="auto"/>
          <w:sz w:val="32"/>
          <w:szCs w:val="32"/>
          <w:highlight w:val="none"/>
        </w:rPr>
      </w:pPr>
      <w:bookmarkStart w:id="0" w:name="_Toc1331"/>
      <w:r>
        <w:rPr>
          <w:rFonts w:hint="eastAsia" w:ascii="微软雅黑" w:hAnsi="微软雅黑" w:eastAsia="微软雅黑" w:cs="微软雅黑"/>
          <w:b/>
          <w:color w:val="auto"/>
          <w:sz w:val="32"/>
          <w:szCs w:val="32"/>
          <w:highlight w:val="none"/>
        </w:rPr>
        <w:t>第四章  需求及技术规格</w:t>
      </w:r>
      <w:bookmarkEnd w:id="0"/>
    </w:p>
    <w:p>
      <w:pPr>
        <w:spacing w:line="340" w:lineRule="exact"/>
        <w:ind w:left="-71" w:firstLine="447" w:firstLineChars="212"/>
        <w:rPr>
          <w:rFonts w:ascii="宋体" w:hAnsi="宋体"/>
          <w:b/>
          <w:bCs/>
          <w:color w:val="auto"/>
          <w:szCs w:val="21"/>
          <w:highlight w:val="none"/>
        </w:rPr>
      </w:pPr>
    </w:p>
    <w:p>
      <w:pPr>
        <w:jc w:val="center"/>
        <w:outlineLvl w:val="1"/>
        <w:rPr>
          <w:rFonts w:ascii="微软雅黑" w:hAnsi="微软雅黑" w:eastAsia="微软雅黑" w:cs="微软雅黑"/>
          <w:b/>
          <w:color w:val="auto"/>
          <w:sz w:val="24"/>
          <w:szCs w:val="24"/>
          <w:highlight w:val="none"/>
        </w:rPr>
      </w:pPr>
      <w:bookmarkStart w:id="1" w:name="_Toc24986"/>
      <w:r>
        <w:rPr>
          <w:rFonts w:hint="eastAsia" w:ascii="微软雅黑" w:hAnsi="微软雅黑" w:eastAsia="微软雅黑" w:cs="微软雅黑"/>
          <w:b/>
          <w:color w:val="auto"/>
          <w:sz w:val="24"/>
          <w:szCs w:val="24"/>
          <w:highlight w:val="none"/>
        </w:rPr>
        <w:t>第一节  说明</w:t>
      </w:r>
      <w:bookmarkEnd w:id="1"/>
    </w:p>
    <w:p>
      <w:pPr>
        <w:spacing w:line="440" w:lineRule="exact"/>
        <w:ind w:firstLine="420" w:firstLineChars="200"/>
        <w:rPr>
          <w:rFonts w:ascii="宋体" w:hAnsi="宋体"/>
          <w:b/>
          <w:bCs/>
          <w:color w:val="auto"/>
          <w:szCs w:val="21"/>
          <w:highlight w:val="none"/>
        </w:rPr>
      </w:pPr>
      <w:r>
        <w:rPr>
          <w:rFonts w:hint="eastAsia" w:ascii="宋体" w:hAnsi="宋体"/>
          <w:color w:val="auto"/>
          <w:szCs w:val="21"/>
          <w:highlight w:val="none"/>
        </w:rPr>
        <w:t>1、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pPr>
        <w:spacing w:line="440" w:lineRule="exact"/>
        <w:ind w:firstLine="422" w:firstLineChars="200"/>
        <w:rPr>
          <w:rFonts w:ascii="宋体" w:hAnsi="宋体"/>
          <w:b/>
          <w:color w:val="auto"/>
          <w:highlight w:val="none"/>
        </w:rPr>
      </w:pPr>
      <w:r>
        <w:rPr>
          <w:rFonts w:hint="eastAsia" w:ascii="宋体" w:hAnsi="宋体"/>
          <w:b/>
          <w:color w:val="auto"/>
          <w:highlight w:val="none"/>
        </w:rPr>
        <w:t>重点说明：偏离表中“偏离度”由投标人自行判断后填写，内容仅供评委参考，</w:t>
      </w:r>
      <w:r>
        <w:rPr>
          <w:rFonts w:ascii="宋体" w:hAnsi="宋体"/>
          <w:b/>
          <w:color w:val="auto"/>
          <w:highlight w:val="none"/>
        </w:rPr>
        <w:t>评标委员会将根据</w:t>
      </w:r>
      <w:r>
        <w:rPr>
          <w:rFonts w:hint="eastAsia" w:ascii="宋体" w:hAnsi="宋体"/>
          <w:b/>
          <w:color w:val="auto"/>
          <w:highlight w:val="none"/>
        </w:rPr>
        <w:t>具体响应内容</w:t>
      </w:r>
      <w:r>
        <w:rPr>
          <w:rFonts w:ascii="宋体" w:hAnsi="宋体"/>
          <w:b/>
          <w:color w:val="auto"/>
          <w:highlight w:val="none"/>
        </w:rPr>
        <w:t>给予是否偏离的认定，并以此</w:t>
      </w:r>
      <w:r>
        <w:rPr>
          <w:rFonts w:hint="eastAsia" w:ascii="宋体" w:hAnsi="宋体"/>
          <w:b/>
          <w:color w:val="auto"/>
          <w:highlight w:val="none"/>
        </w:rPr>
        <w:t>作为</w:t>
      </w:r>
      <w:r>
        <w:rPr>
          <w:rFonts w:ascii="宋体" w:hAnsi="宋体"/>
          <w:b/>
          <w:color w:val="auto"/>
          <w:highlight w:val="none"/>
        </w:rPr>
        <w:t>最终评判</w:t>
      </w:r>
      <w:r>
        <w:rPr>
          <w:rFonts w:hint="eastAsia" w:ascii="宋体" w:hAnsi="宋体"/>
          <w:b/>
          <w:color w:val="auto"/>
          <w:szCs w:val="22"/>
          <w:highlight w:val="none"/>
        </w:rPr>
        <w:t>。</w:t>
      </w:r>
      <w:r>
        <w:rPr>
          <w:rFonts w:hint="eastAsia" w:ascii="宋体" w:hAnsi="宋体"/>
          <w:b/>
          <w:color w:val="auto"/>
          <w:highlight w:val="none"/>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本招标文件要求中，凡标有</w:t>
      </w:r>
      <w:r>
        <w:rPr>
          <w:rFonts w:hint="eastAsia" w:ascii="宋体" w:hAnsi="宋体"/>
          <w:b/>
          <w:bCs/>
          <w:color w:val="auto"/>
          <w:szCs w:val="21"/>
          <w:highlight w:val="none"/>
        </w:rPr>
        <w:t>“★”</w:t>
      </w:r>
      <w:r>
        <w:rPr>
          <w:rFonts w:ascii="宋体" w:hAnsi="宋体"/>
          <w:b/>
          <w:bCs/>
          <w:color w:val="auto"/>
          <w:szCs w:val="21"/>
          <w:highlight w:val="none"/>
        </w:rPr>
        <w:t>的地方均被视为</w:t>
      </w:r>
      <w:r>
        <w:rPr>
          <w:rFonts w:hint="eastAsia" w:ascii="宋体" w:hAnsi="宋体"/>
          <w:b/>
          <w:bCs/>
          <w:color w:val="auto"/>
          <w:szCs w:val="21"/>
          <w:highlight w:val="none"/>
        </w:rPr>
        <w:t>不可偏离条款，</w:t>
      </w:r>
      <w:r>
        <w:rPr>
          <w:rFonts w:ascii="宋体" w:hAnsi="宋体"/>
          <w:b/>
          <w:bCs/>
          <w:color w:val="auto"/>
          <w:szCs w:val="21"/>
          <w:highlight w:val="none"/>
        </w:rPr>
        <w:t>投标人要特别加以注意</w:t>
      </w:r>
      <w:r>
        <w:rPr>
          <w:rFonts w:hint="eastAsia" w:ascii="宋体" w:hAnsi="宋体"/>
          <w:b/>
          <w:bCs/>
          <w:color w:val="auto"/>
          <w:szCs w:val="21"/>
          <w:highlight w:val="none"/>
        </w:rPr>
        <w:t>并予以响应，</w:t>
      </w:r>
      <w:r>
        <w:rPr>
          <w:rFonts w:ascii="宋体" w:hAnsi="宋体"/>
          <w:b/>
          <w:bCs/>
          <w:color w:val="auto"/>
          <w:szCs w:val="21"/>
          <w:highlight w:val="none"/>
        </w:rPr>
        <w:t>否则，若有一项带</w:t>
      </w:r>
      <w:r>
        <w:rPr>
          <w:rFonts w:hint="eastAsia" w:ascii="宋体" w:hAnsi="宋体"/>
          <w:b/>
          <w:bCs/>
          <w:color w:val="auto"/>
          <w:szCs w:val="21"/>
          <w:highlight w:val="none"/>
        </w:rPr>
        <w:t>“★”</w:t>
      </w:r>
      <w:r>
        <w:rPr>
          <w:rFonts w:ascii="宋体" w:hAnsi="宋体"/>
          <w:b/>
          <w:bCs/>
          <w:color w:val="auto"/>
          <w:szCs w:val="21"/>
          <w:highlight w:val="none"/>
        </w:rPr>
        <w:t>的</w:t>
      </w:r>
      <w:r>
        <w:rPr>
          <w:rFonts w:hint="eastAsia" w:ascii="宋体" w:hAnsi="宋体"/>
          <w:b/>
          <w:bCs/>
          <w:color w:val="auto"/>
          <w:szCs w:val="21"/>
          <w:highlight w:val="none"/>
        </w:rPr>
        <w:t>要求</w:t>
      </w:r>
      <w:r>
        <w:rPr>
          <w:rFonts w:ascii="宋体" w:hAnsi="宋体"/>
          <w:b/>
          <w:bCs/>
          <w:color w:val="auto"/>
          <w:szCs w:val="21"/>
          <w:highlight w:val="none"/>
        </w:rPr>
        <w:t>未响应或不满足，将按投标无效处理</w:t>
      </w:r>
      <w:r>
        <w:rPr>
          <w:rFonts w:hint="eastAsia" w:ascii="宋体" w:hAnsi="宋体"/>
          <w:b/>
          <w:bCs/>
          <w:color w:val="auto"/>
          <w:szCs w:val="21"/>
          <w:highlight w:val="none"/>
        </w:rPr>
        <w:t>；</w:t>
      </w:r>
      <w:r>
        <w:rPr>
          <w:rFonts w:ascii="宋体" w:hAnsi="宋体"/>
          <w:b/>
          <w:bCs/>
          <w:color w:val="auto"/>
          <w:szCs w:val="21"/>
          <w:highlight w:val="none"/>
        </w:rPr>
        <w:t>凡标有</w:t>
      </w:r>
      <w:r>
        <w:rPr>
          <w:rFonts w:hint="eastAsia" w:ascii="宋体" w:hAnsi="宋体"/>
          <w:b/>
          <w:bCs/>
          <w:color w:val="auto"/>
          <w:szCs w:val="21"/>
          <w:highlight w:val="none"/>
        </w:rPr>
        <w:t xml:space="preserve"> “▲”</w:t>
      </w:r>
      <w:r>
        <w:rPr>
          <w:rFonts w:ascii="宋体" w:hAnsi="宋体"/>
          <w:b/>
          <w:bCs/>
          <w:color w:val="auto"/>
          <w:szCs w:val="21"/>
          <w:highlight w:val="none"/>
        </w:rPr>
        <w:t>的地方均被视为重要要求</w:t>
      </w:r>
      <w:r>
        <w:rPr>
          <w:rFonts w:hint="eastAsia" w:ascii="宋体" w:hAnsi="宋体"/>
          <w:b/>
          <w:bCs/>
          <w:color w:val="auto"/>
          <w:szCs w:val="21"/>
          <w:highlight w:val="none"/>
        </w:rPr>
        <w:t>，若有带“▲”的要求未响应或不满足的，将按加重扣分处理</w:t>
      </w:r>
      <w:r>
        <w:rPr>
          <w:rFonts w:ascii="宋体" w:hAnsi="宋体"/>
          <w:b/>
          <w:bCs/>
          <w:color w:val="auto"/>
          <w:szCs w:val="21"/>
          <w:highlight w:val="none"/>
        </w:rPr>
        <w:t>。</w:t>
      </w:r>
    </w:p>
    <w:p>
      <w:pPr>
        <w:spacing w:line="440" w:lineRule="exact"/>
        <w:jc w:val="center"/>
        <w:rPr>
          <w:rFonts w:ascii="宋体" w:hAnsi="宋体"/>
          <w:b/>
          <w:bCs/>
          <w:color w:val="auto"/>
          <w:szCs w:val="21"/>
          <w:highlight w:val="none"/>
        </w:rPr>
      </w:pPr>
    </w:p>
    <w:p>
      <w:pPr>
        <w:jc w:val="center"/>
        <w:outlineLvl w:val="1"/>
        <w:rPr>
          <w:rFonts w:ascii="微软雅黑" w:hAnsi="微软雅黑" w:eastAsia="微软雅黑" w:cs="微软雅黑"/>
          <w:b/>
          <w:color w:val="auto"/>
          <w:sz w:val="24"/>
          <w:szCs w:val="24"/>
          <w:highlight w:val="none"/>
        </w:rPr>
      </w:pPr>
      <w:bookmarkStart w:id="2" w:name="_Toc28899"/>
      <w:r>
        <w:rPr>
          <w:rFonts w:hint="eastAsia" w:ascii="微软雅黑" w:hAnsi="微软雅黑" w:eastAsia="微软雅黑" w:cs="微软雅黑"/>
          <w:b/>
          <w:color w:val="auto"/>
          <w:sz w:val="24"/>
          <w:szCs w:val="24"/>
          <w:highlight w:val="none"/>
        </w:rPr>
        <w:t>第二节  需求一览表</w:t>
      </w:r>
      <w:bookmarkEnd w:id="2"/>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138"/>
        <w:gridCol w:w="922"/>
        <w:gridCol w:w="107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dxa"/>
            <w:vAlign w:val="center"/>
          </w:tcPr>
          <w:p>
            <w:pPr>
              <w:jc w:val="center"/>
              <w:rPr>
                <w:b/>
                <w:color w:val="auto"/>
                <w:highlight w:val="none"/>
              </w:rPr>
            </w:pPr>
            <w:r>
              <w:rPr>
                <w:b/>
                <w:color w:val="auto"/>
                <w:highlight w:val="none"/>
              </w:rPr>
              <w:t>序号</w:t>
            </w:r>
          </w:p>
        </w:tc>
        <w:tc>
          <w:tcPr>
            <w:tcW w:w="4138" w:type="dxa"/>
            <w:vAlign w:val="center"/>
          </w:tcPr>
          <w:p>
            <w:pPr>
              <w:jc w:val="center"/>
              <w:rPr>
                <w:b/>
                <w:color w:val="auto"/>
                <w:highlight w:val="none"/>
              </w:rPr>
            </w:pPr>
            <w:r>
              <w:rPr>
                <w:b/>
                <w:color w:val="auto"/>
                <w:highlight w:val="none"/>
              </w:rPr>
              <w:t>服务名称</w:t>
            </w:r>
          </w:p>
        </w:tc>
        <w:tc>
          <w:tcPr>
            <w:tcW w:w="922" w:type="dxa"/>
            <w:vAlign w:val="center"/>
          </w:tcPr>
          <w:p>
            <w:pPr>
              <w:jc w:val="center"/>
              <w:rPr>
                <w:b/>
                <w:color w:val="auto"/>
                <w:highlight w:val="none"/>
              </w:rPr>
            </w:pPr>
            <w:r>
              <w:rPr>
                <w:b/>
                <w:color w:val="auto"/>
                <w:highlight w:val="none"/>
              </w:rPr>
              <w:t>数量</w:t>
            </w:r>
          </w:p>
        </w:tc>
        <w:tc>
          <w:tcPr>
            <w:tcW w:w="1073" w:type="dxa"/>
            <w:vAlign w:val="center"/>
          </w:tcPr>
          <w:p>
            <w:pPr>
              <w:jc w:val="center"/>
              <w:rPr>
                <w:b/>
                <w:color w:val="auto"/>
                <w:highlight w:val="none"/>
              </w:rPr>
            </w:pPr>
            <w:r>
              <w:rPr>
                <w:b/>
                <w:color w:val="auto"/>
                <w:highlight w:val="none"/>
              </w:rPr>
              <w:t>单位</w:t>
            </w:r>
          </w:p>
        </w:tc>
        <w:tc>
          <w:tcPr>
            <w:tcW w:w="1900" w:type="dxa"/>
            <w:vAlign w:val="center"/>
          </w:tcPr>
          <w:p>
            <w:pPr>
              <w:jc w:val="center"/>
              <w:rPr>
                <w:rFonts w:ascii="宋体" w:hAnsi="宋体"/>
                <w:b/>
                <w:color w:val="auto"/>
                <w:highlight w:val="none"/>
              </w:rPr>
            </w:pPr>
            <w:r>
              <w:rPr>
                <w:rFonts w:hint="eastAsia"/>
                <w:b/>
                <w:color w:val="auto"/>
                <w:szCs w:val="21"/>
                <w:highlight w:val="none"/>
              </w:rPr>
              <w:t>预算控制金额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dxa"/>
            <w:vAlign w:val="center"/>
          </w:tcPr>
          <w:p>
            <w:pPr>
              <w:jc w:val="center"/>
              <w:rPr>
                <w:rFonts w:ascii="宋体" w:hAnsi="宋体"/>
                <w:color w:val="auto"/>
                <w:highlight w:val="none"/>
              </w:rPr>
            </w:pPr>
            <w:r>
              <w:rPr>
                <w:rFonts w:ascii="宋体" w:hAnsi="宋体"/>
                <w:color w:val="auto"/>
                <w:highlight w:val="none"/>
              </w:rPr>
              <w:t>1</w:t>
            </w:r>
          </w:p>
        </w:tc>
        <w:tc>
          <w:tcPr>
            <w:tcW w:w="4138" w:type="dxa"/>
            <w:vAlign w:val="center"/>
          </w:tcPr>
          <w:p>
            <w:pPr>
              <w:jc w:val="center"/>
              <w:rPr>
                <w:rFonts w:ascii="宋体" w:hAnsi="宋体" w:eastAsiaTheme="minorEastAsia"/>
                <w:color w:val="auto"/>
                <w:highlight w:val="none"/>
              </w:rPr>
            </w:pPr>
            <w:r>
              <w:rPr>
                <w:rFonts w:hint="eastAsia" w:asciiTheme="minorEastAsia" w:hAnsiTheme="minorEastAsia" w:eastAsiaTheme="minorEastAsia" w:cstheme="minorBidi"/>
                <w:color w:val="auto"/>
                <w:szCs w:val="21"/>
                <w:highlight w:val="none"/>
              </w:rPr>
              <w:t>烘培技能培训项目</w:t>
            </w:r>
          </w:p>
        </w:tc>
        <w:tc>
          <w:tcPr>
            <w:tcW w:w="922" w:type="dxa"/>
            <w:vAlign w:val="center"/>
          </w:tcPr>
          <w:p>
            <w:pPr>
              <w:jc w:val="center"/>
              <w:rPr>
                <w:rFonts w:ascii="宋体" w:hAnsi="宋体"/>
                <w:color w:val="auto"/>
                <w:highlight w:val="none"/>
              </w:rPr>
            </w:pPr>
            <w:r>
              <w:rPr>
                <w:rFonts w:ascii="宋体" w:hAnsi="宋体"/>
                <w:color w:val="auto"/>
                <w:highlight w:val="none"/>
              </w:rPr>
              <w:t>1</w:t>
            </w:r>
          </w:p>
        </w:tc>
        <w:tc>
          <w:tcPr>
            <w:tcW w:w="1073" w:type="dxa"/>
            <w:vAlign w:val="center"/>
          </w:tcPr>
          <w:p>
            <w:pPr>
              <w:jc w:val="center"/>
              <w:rPr>
                <w:rFonts w:ascii="宋体" w:hAnsi="宋体"/>
                <w:color w:val="auto"/>
                <w:highlight w:val="none"/>
              </w:rPr>
            </w:pPr>
            <w:r>
              <w:rPr>
                <w:rFonts w:ascii="宋体" w:hAnsi="宋体"/>
                <w:color w:val="auto"/>
                <w:highlight w:val="none"/>
              </w:rPr>
              <w:t>项</w:t>
            </w:r>
          </w:p>
        </w:tc>
        <w:tc>
          <w:tcPr>
            <w:tcW w:w="1900" w:type="dxa"/>
            <w:vAlign w:val="center"/>
          </w:tcPr>
          <w:p>
            <w:pPr>
              <w:jc w:val="center"/>
              <w:rPr>
                <w:rFonts w:ascii="宋体" w:hAnsi="宋体"/>
                <w:color w:val="auto"/>
                <w:highlight w:val="none"/>
              </w:rPr>
            </w:pPr>
            <w:r>
              <w:rPr>
                <w:rFonts w:hint="eastAsia"/>
                <w:color w:val="auto"/>
                <w:szCs w:val="21"/>
                <w:highlight w:val="none"/>
              </w:rPr>
              <w:t>21.6万元</w:t>
            </w:r>
          </w:p>
        </w:tc>
      </w:tr>
    </w:tbl>
    <w:p>
      <w:pPr>
        <w:spacing w:line="340" w:lineRule="exact"/>
        <w:ind w:firstLine="422" w:firstLineChars="200"/>
        <w:rPr>
          <w:rFonts w:ascii="宋体" w:hAnsi="宋体"/>
          <w:b/>
          <w:bCs/>
          <w:color w:val="auto"/>
          <w:szCs w:val="21"/>
          <w:highlight w:val="none"/>
        </w:rPr>
      </w:pPr>
    </w:p>
    <w:p>
      <w:pPr>
        <w:jc w:val="center"/>
        <w:outlineLvl w:val="1"/>
        <w:rPr>
          <w:rFonts w:ascii="微软雅黑" w:hAnsi="微软雅黑" w:eastAsia="微软雅黑" w:cs="微软雅黑"/>
          <w:b/>
          <w:color w:val="auto"/>
          <w:sz w:val="24"/>
          <w:szCs w:val="24"/>
          <w:highlight w:val="none"/>
        </w:rPr>
      </w:pPr>
      <w:bookmarkStart w:id="3" w:name="_Toc5820"/>
      <w:r>
        <w:rPr>
          <w:rFonts w:hint="eastAsia" w:ascii="微软雅黑" w:hAnsi="微软雅黑" w:eastAsia="微软雅黑" w:cs="微软雅黑"/>
          <w:b/>
          <w:color w:val="auto"/>
          <w:sz w:val="24"/>
          <w:szCs w:val="24"/>
          <w:highlight w:val="none"/>
        </w:rPr>
        <w:t>第三节  技术需求明细</w:t>
      </w:r>
      <w:bookmarkEnd w:id="3"/>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一、工作目标</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在采购人的指导协调下，为25名困难残疾人及其家属提供烘培技能培训项目，以及满足培训实施须具备的配套保障服务，服务时长20日（120课时）。培训结业后学员掌握烘培技能,具备在相关领域就业创业的能力。</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二、服务内容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2.1培训的策划：策划烘培技能培训项目方案；</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2.2培训时间：服务时长不少于20日（120课时）；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2.3培训师资：</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2.3.1授课教师具备2年以上烘培技能培训实践经历；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2.3.2培训班至少安排一名主讲教师；</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2.4培训内容：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2.4.1理论培训内容包括但不限于：烘培的历史、文化、发展、基础知识和基本技能，了解和掌握烘培的含义、制作工艺等教学内容；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2.4.2实操培训内容包括但不限于：烘焙基础、调料与配料、原料的准备、加工烘焙设施的布置、烘焙空间的调整、烘焙技术等教学内容，培训后学员独立完成烘焙作品等；</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2.5培训效果：</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2.5.1培训期间安排不少于2场次学员就业见习实践机会；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2.5.2培训后推荐不少于5名困难残疾人及其家属实现相关领域就业（创业）；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2.5.3培训考核：培训结束后安排至少1次结业考核，考试合格的学员颁发培训合格证书与培训结业证书；</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2.6项目管理：建立学员项目档案，内容包括开班通讯稿、考勤记录、项目满意度评价、项目场景照片资料（含学员操作、老师现场指导、教学全景）、项目结案报告等资料；</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2.7保障服务内容包括但不限于：协助采购人做好如招生宣传、项目运营、后勤保障、安全保障、档案管理等服务，满足项目开展所需场地、设备、耗材、车辆、用餐、应急药品等。</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三、提交成果</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培训项目实施过程监督凭证完善，内容包括：按规范登记考勤记录、教学大纲、培训过程照片、学员作品、培训结业证书、实习见习佐证材料等资料。</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四、人员及车辆要求</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针对培训项目实际需求，安排具备相应课程授课能力的师资力量授课，提供培训班运作所需要的项目管理人员。</w:t>
      </w:r>
    </w:p>
    <w:p>
      <w:pPr>
        <w:spacing w:line="340" w:lineRule="exact"/>
        <w:ind w:firstLine="472" w:firstLineChars="225"/>
        <w:rPr>
          <w:rFonts w:ascii="宋体" w:hAnsi="宋体"/>
          <w:color w:val="auto"/>
          <w:szCs w:val="21"/>
          <w:highlight w:val="none"/>
        </w:rPr>
      </w:pPr>
    </w:p>
    <w:p>
      <w:pPr>
        <w:jc w:val="center"/>
        <w:outlineLvl w:val="1"/>
        <w:rPr>
          <w:rFonts w:ascii="微软雅黑" w:hAnsi="微软雅黑" w:eastAsia="微软雅黑" w:cs="微软雅黑"/>
          <w:b/>
          <w:color w:val="auto"/>
          <w:sz w:val="24"/>
          <w:szCs w:val="24"/>
          <w:highlight w:val="none"/>
        </w:rPr>
      </w:pPr>
      <w:bookmarkStart w:id="4" w:name="_Toc9861"/>
      <w:r>
        <w:rPr>
          <w:rFonts w:hint="eastAsia" w:ascii="微软雅黑" w:hAnsi="微软雅黑" w:eastAsia="微软雅黑" w:cs="微软雅黑"/>
          <w:b/>
          <w:color w:val="auto"/>
          <w:sz w:val="24"/>
          <w:szCs w:val="24"/>
          <w:highlight w:val="none"/>
        </w:rPr>
        <w:t>第四节  商务需求明细</w:t>
      </w:r>
      <w:bookmarkEnd w:id="4"/>
    </w:p>
    <w:p>
      <w:pPr>
        <w:spacing w:line="440" w:lineRule="exact"/>
        <w:ind w:firstLine="420" w:firstLineChars="199"/>
        <w:rPr>
          <w:rFonts w:ascii="宋体" w:hAnsi="宋体"/>
          <w:b/>
          <w:color w:val="auto"/>
          <w:szCs w:val="21"/>
          <w:highlight w:val="none"/>
        </w:rPr>
      </w:pPr>
      <w:r>
        <w:rPr>
          <w:rFonts w:hint="eastAsia" w:ascii="宋体" w:hAnsi="宋体"/>
          <w:b/>
          <w:color w:val="auto"/>
          <w:szCs w:val="21"/>
          <w:highlight w:val="none"/>
        </w:rPr>
        <w:t>★一、服务期限</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自合同签订之日起至2023年11月30日内。</w:t>
      </w:r>
    </w:p>
    <w:p>
      <w:pPr>
        <w:spacing w:line="440" w:lineRule="exact"/>
        <w:ind w:firstLine="420" w:firstLineChars="199"/>
        <w:rPr>
          <w:rFonts w:ascii="宋体" w:hAnsi="宋体"/>
          <w:b/>
          <w:color w:val="auto"/>
          <w:szCs w:val="21"/>
          <w:highlight w:val="none"/>
        </w:rPr>
      </w:pPr>
      <w:r>
        <w:rPr>
          <w:rFonts w:hint="eastAsia" w:ascii="宋体" w:hAnsi="宋体"/>
          <w:b/>
          <w:color w:val="auto"/>
          <w:szCs w:val="21"/>
          <w:highlight w:val="none"/>
        </w:rPr>
        <w:t>二、项目进度安排</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2.1项目自合同签订之日起落实招生组织工作，经筛选确定培训学员达25人时可开展培训工作。</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2.2在满足培训课时及课程内容的前提下，根据培训学员实际情况制定完善的培训实施工作制度，科学有序推进各项培训服务工作。</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2.3项目所有培训服务内容须在2023年11月30日前完成，同时期按要求规范提交项目结案报告及全套项目档案。</w:t>
      </w:r>
    </w:p>
    <w:p>
      <w:pPr>
        <w:spacing w:line="440" w:lineRule="exact"/>
        <w:ind w:firstLine="420" w:firstLineChars="199"/>
        <w:rPr>
          <w:rFonts w:ascii="宋体" w:hAnsi="宋体"/>
          <w:b/>
          <w:color w:val="auto"/>
          <w:szCs w:val="21"/>
          <w:highlight w:val="none"/>
        </w:rPr>
      </w:pPr>
      <w:r>
        <w:rPr>
          <w:rFonts w:hint="eastAsia" w:ascii="宋体" w:hAnsi="宋体"/>
          <w:b/>
          <w:color w:val="auto"/>
          <w:szCs w:val="21"/>
          <w:highlight w:val="none"/>
        </w:rPr>
        <w:t>★三、付款方式</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双方签订协议后且在中标人提供税务发票后，采购人向中标人支付首款（协议价格的70%）；项目结束后，采购人根据项目验收完成情况，按合同规定支付尾款。</w:t>
      </w:r>
    </w:p>
    <w:p>
      <w:pPr>
        <w:spacing w:line="440" w:lineRule="exact"/>
        <w:ind w:firstLine="420" w:firstLineChars="199"/>
        <w:rPr>
          <w:rFonts w:ascii="宋体" w:hAnsi="宋体"/>
          <w:b/>
          <w:color w:val="auto"/>
          <w:szCs w:val="21"/>
          <w:highlight w:val="none"/>
        </w:rPr>
      </w:pPr>
      <w:r>
        <w:rPr>
          <w:rFonts w:hint="eastAsia" w:ascii="宋体" w:hAnsi="宋体"/>
          <w:b/>
          <w:color w:val="auto"/>
          <w:szCs w:val="21"/>
          <w:highlight w:val="none"/>
        </w:rPr>
        <w:t>四、服务质量要求</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投标方必须严格按照项目合同要求履行职责和义务，在项目执行期间应接受招标方的监督和业务指导，任何改变合同约定的事项必须预先征得招标方同意。</w:t>
      </w:r>
    </w:p>
    <w:p>
      <w:pPr>
        <w:spacing w:line="440" w:lineRule="exact"/>
        <w:ind w:firstLine="420" w:firstLineChars="199"/>
        <w:rPr>
          <w:rFonts w:ascii="宋体" w:hAnsi="宋体"/>
          <w:b/>
          <w:color w:val="auto"/>
          <w:szCs w:val="21"/>
          <w:highlight w:val="none"/>
        </w:rPr>
      </w:pPr>
      <w:r>
        <w:rPr>
          <w:rFonts w:hint="eastAsia" w:ascii="宋体" w:hAnsi="宋体"/>
          <w:b/>
          <w:color w:val="auto"/>
          <w:szCs w:val="21"/>
          <w:highlight w:val="none"/>
        </w:rPr>
        <w:t>五、售后服务要求</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服务工作结束后，中标机构须在当月30日前向中心提供项目服务档案，由采购人验收中标机构项目服务档案。项目结束一年内，及时响应采购人档案管理要求，保证项目档案完整规范。</w:t>
      </w:r>
    </w:p>
    <w:p>
      <w:pPr>
        <w:spacing w:line="440" w:lineRule="exact"/>
        <w:ind w:firstLine="420" w:firstLineChars="199"/>
        <w:rPr>
          <w:rFonts w:ascii="宋体" w:hAnsi="宋体"/>
          <w:b/>
          <w:color w:val="auto"/>
          <w:szCs w:val="21"/>
          <w:highlight w:val="none"/>
        </w:rPr>
      </w:pPr>
      <w:r>
        <w:rPr>
          <w:rFonts w:hint="eastAsia" w:ascii="宋体" w:hAnsi="宋体"/>
          <w:b/>
          <w:color w:val="auto"/>
          <w:szCs w:val="21"/>
          <w:highlight w:val="none"/>
        </w:rPr>
        <w:t>六、违约责任</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依照双方中标后签订的服务合同内容执行。</w:t>
      </w:r>
    </w:p>
    <w:p>
      <w:pPr>
        <w:spacing w:line="440" w:lineRule="exact"/>
        <w:ind w:firstLine="420" w:firstLineChars="199"/>
        <w:rPr>
          <w:rFonts w:ascii="宋体" w:hAnsi="宋体"/>
          <w:b/>
          <w:color w:val="auto"/>
          <w:szCs w:val="21"/>
          <w:highlight w:val="none"/>
        </w:rPr>
      </w:pPr>
      <w:r>
        <w:rPr>
          <w:rFonts w:hint="eastAsia" w:ascii="宋体" w:hAnsi="宋体"/>
          <w:b/>
          <w:color w:val="auto"/>
          <w:szCs w:val="21"/>
          <w:highlight w:val="none"/>
        </w:rPr>
        <w:t>★七、报价要求</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1.人民币报价，本项目服务费采用包干制，投标报价应包括服务成本、法定税费和企业的利润等一切费用。由供应商根据招标文件所提供的资料自行测算投标报价；一经中标，投标报价总价作为中标人与采购人签订的合同金额，合同期限内不做调整；</w:t>
      </w:r>
    </w:p>
    <w:p>
      <w:pPr>
        <w:spacing w:line="440" w:lineRule="exact"/>
        <w:ind w:firstLine="417" w:firstLineChars="199"/>
        <w:rPr>
          <w:rFonts w:ascii="宋体" w:hAnsi="宋体"/>
          <w:bCs/>
          <w:color w:val="auto"/>
          <w:szCs w:val="21"/>
          <w:highlight w:val="none"/>
        </w:rPr>
      </w:pPr>
      <w:r>
        <w:rPr>
          <w:rFonts w:hint="eastAsia" w:ascii="宋体" w:hAnsi="宋体"/>
          <w:bCs/>
          <w:color w:val="auto"/>
          <w:szCs w:val="21"/>
          <w:highlight w:val="none"/>
        </w:rPr>
        <w:t>2.供应商不得以低于成本的报价竞标；评标委员会认为供应商的报价/分项报价明显低于其他通过符合性审查供应商的报价/分项报价，有可能影响服务质量或者不能诚信履约的，应当要求其在评标现场合理的时间内提供书面说明，必要时提交相关证明材料，供应商不能证明其报价合理性的，评标委员会应当将其作为无效投标处理。</w:t>
      </w:r>
    </w:p>
    <w:p>
      <w:pPr>
        <w:jc w:val="center"/>
        <w:outlineLvl w:val="1"/>
        <w:rPr>
          <w:rFonts w:ascii="微软雅黑" w:hAnsi="微软雅黑" w:eastAsia="微软雅黑" w:cs="微软雅黑"/>
          <w:b/>
          <w:bCs/>
          <w:caps/>
          <w:color w:val="auto"/>
          <w:sz w:val="24"/>
          <w:szCs w:val="24"/>
          <w:highlight w:val="none"/>
        </w:rPr>
      </w:pPr>
      <w:bookmarkStart w:id="5" w:name="_Toc353262376"/>
      <w:bookmarkStart w:id="6" w:name="_Toc15840"/>
      <w:bookmarkStart w:id="7" w:name="_Toc333420706"/>
      <w:r>
        <w:rPr>
          <w:rFonts w:hint="eastAsia" w:ascii="微软雅黑" w:hAnsi="微软雅黑" w:eastAsia="微软雅黑" w:cs="微软雅黑"/>
          <w:b/>
          <w:bCs/>
          <w:caps/>
          <w:color w:val="auto"/>
          <w:sz w:val="24"/>
          <w:szCs w:val="24"/>
          <w:highlight w:val="none"/>
        </w:rPr>
        <w:t>第五节  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aps/>
          <w:color w:val="auto"/>
          <w:sz w:val="24"/>
          <w:szCs w:val="24"/>
          <w:highlight w:val="none"/>
        </w:rPr>
        <w:t>否决性条款摘要</w:t>
      </w:r>
      <w:bookmarkEnd w:id="5"/>
      <w:bookmarkEnd w:id="6"/>
      <w:bookmarkEnd w:id="7"/>
    </w:p>
    <w:p>
      <w:pPr>
        <w:spacing w:line="440" w:lineRule="exact"/>
        <w:ind w:firstLine="422" w:firstLineChars="200"/>
        <w:rPr>
          <w:rFonts w:ascii="宋体" w:hAnsi="宋体"/>
          <w:b/>
          <w:color w:val="auto"/>
          <w:szCs w:val="21"/>
          <w:highlight w:val="none"/>
        </w:rPr>
      </w:pPr>
      <w:r>
        <w:rPr>
          <w:rFonts w:ascii="宋体" w:hAnsi="宋体"/>
          <w:b/>
          <w:color w:val="auto"/>
          <w:highlight w:val="none"/>
        </w:rPr>
        <w:t>1、</w:t>
      </w:r>
      <w:r>
        <w:rPr>
          <w:rFonts w:ascii="宋体" w:hAnsi="宋体"/>
          <w:b/>
          <w:color w:val="auto"/>
          <w:szCs w:val="21"/>
          <w:highlight w:val="none"/>
        </w:rPr>
        <w:t>投标文件有下列情形之一的，不予受理：</w:t>
      </w:r>
    </w:p>
    <w:p>
      <w:pPr>
        <w:spacing w:line="440" w:lineRule="exact"/>
        <w:ind w:firstLine="420" w:firstLineChars="200"/>
        <w:rPr>
          <w:rFonts w:ascii="宋体" w:hAnsi="宋体"/>
          <w:color w:val="auto"/>
          <w:szCs w:val="21"/>
          <w:highlight w:val="none"/>
        </w:rPr>
      </w:pPr>
      <w:r>
        <w:rPr>
          <w:rFonts w:ascii="宋体" w:hAnsi="宋体"/>
          <w:color w:val="auto"/>
          <w:highlight w:val="none"/>
        </w:rPr>
        <w:t xml:space="preserve">1.1  </w:t>
      </w:r>
      <w:r>
        <w:rPr>
          <w:rFonts w:ascii="宋体" w:hAnsi="宋体"/>
          <w:color w:val="auto"/>
          <w:szCs w:val="21"/>
          <w:highlight w:val="none"/>
        </w:rPr>
        <w:t>在投标截止时间以后送达的，或者未送达指定地点的；</w:t>
      </w:r>
    </w:p>
    <w:p>
      <w:pPr>
        <w:spacing w:line="440" w:lineRule="exact"/>
        <w:ind w:firstLine="420" w:firstLineChars="200"/>
        <w:rPr>
          <w:rFonts w:ascii="宋体" w:hAnsi="宋体"/>
          <w:color w:val="auto"/>
          <w:highlight w:val="none"/>
        </w:rPr>
      </w:pPr>
      <w:r>
        <w:rPr>
          <w:rFonts w:ascii="宋体" w:hAnsi="宋体"/>
          <w:color w:val="auto"/>
          <w:highlight w:val="none"/>
        </w:rPr>
        <w:t xml:space="preserve">1.2  </w:t>
      </w:r>
      <w:r>
        <w:rPr>
          <w:rFonts w:hint="eastAsia" w:ascii="宋体" w:hAnsi="宋体"/>
          <w:color w:val="auto"/>
          <w:highlight w:val="none"/>
        </w:rPr>
        <w:t>投标文件未密封的；</w:t>
      </w:r>
    </w:p>
    <w:p>
      <w:pPr>
        <w:spacing w:line="440" w:lineRule="exact"/>
        <w:ind w:firstLine="420" w:firstLineChars="200"/>
        <w:rPr>
          <w:rFonts w:ascii="宋体" w:hAnsi="宋体"/>
          <w:b/>
          <w:color w:val="auto"/>
          <w:szCs w:val="21"/>
          <w:highlight w:val="none"/>
        </w:rPr>
      </w:pPr>
      <w:r>
        <w:rPr>
          <w:rFonts w:hint="eastAsia" w:ascii="宋体" w:hAnsi="宋体"/>
          <w:color w:val="auto"/>
          <w:highlight w:val="none"/>
        </w:rPr>
        <w:t xml:space="preserve">1.3  </w:t>
      </w:r>
      <w:r>
        <w:rPr>
          <w:rFonts w:ascii="宋体" w:hAnsi="宋体"/>
          <w:color w:val="auto"/>
          <w:szCs w:val="21"/>
          <w:highlight w:val="none"/>
        </w:rPr>
        <w:t>投标人的名称与</w:t>
      </w:r>
      <w:bookmarkStart w:id="8" w:name="_Toc76871384"/>
      <w:r>
        <w:rPr>
          <w:rFonts w:ascii="宋体" w:hAnsi="宋体"/>
          <w:color w:val="auto"/>
          <w:szCs w:val="21"/>
          <w:highlight w:val="none"/>
        </w:rPr>
        <w:t>购买招标文件时登记</w:t>
      </w:r>
      <w:bookmarkEnd w:id="8"/>
      <w:r>
        <w:rPr>
          <w:rFonts w:ascii="宋体" w:hAnsi="宋体"/>
          <w:color w:val="auto"/>
          <w:szCs w:val="21"/>
          <w:highlight w:val="none"/>
        </w:rPr>
        <w:t>的不一致的。</w:t>
      </w:r>
    </w:p>
    <w:p>
      <w:pPr>
        <w:spacing w:line="440" w:lineRule="exact"/>
        <w:ind w:firstLine="422" w:firstLineChars="200"/>
        <w:rPr>
          <w:rFonts w:ascii="宋体" w:hAnsi="宋体"/>
          <w:b/>
          <w:color w:val="auto"/>
          <w:szCs w:val="21"/>
          <w:highlight w:val="none"/>
        </w:rPr>
      </w:pPr>
      <w:r>
        <w:rPr>
          <w:rFonts w:ascii="宋体" w:hAnsi="宋体"/>
          <w:b/>
          <w:color w:val="auto"/>
          <w:highlight w:val="none"/>
        </w:rPr>
        <w:t>2</w:t>
      </w:r>
      <w:r>
        <w:rPr>
          <w:rFonts w:hint="eastAsia" w:ascii="宋体" w:hAnsi="宋体"/>
          <w:b/>
          <w:color w:val="auto"/>
          <w:highlight w:val="none"/>
        </w:rPr>
        <w:t>、</w:t>
      </w:r>
      <w:r>
        <w:rPr>
          <w:rFonts w:ascii="宋体" w:hAnsi="宋体"/>
          <w:b/>
          <w:color w:val="auto"/>
          <w:szCs w:val="21"/>
          <w:highlight w:val="none"/>
        </w:rPr>
        <w:t>投标文件有下列</w:t>
      </w:r>
      <w:r>
        <w:rPr>
          <w:rFonts w:hint="eastAsia" w:ascii="宋体" w:hAnsi="宋体"/>
          <w:b/>
          <w:color w:val="auto"/>
          <w:szCs w:val="21"/>
          <w:highlight w:val="none"/>
        </w:rPr>
        <w:t>情形之一的，按无效标处理：</w:t>
      </w:r>
    </w:p>
    <w:p>
      <w:pPr>
        <w:spacing w:line="440" w:lineRule="exact"/>
        <w:ind w:firstLine="420" w:firstLineChars="200"/>
        <w:rPr>
          <w:rFonts w:ascii="宋体" w:hAnsi="宋体"/>
          <w:color w:val="auto"/>
          <w:szCs w:val="21"/>
          <w:highlight w:val="none"/>
        </w:rPr>
      </w:pPr>
      <w:r>
        <w:rPr>
          <w:rFonts w:hint="eastAsia" w:ascii="宋体" w:hAnsi="宋体"/>
          <w:color w:val="auto"/>
          <w:highlight w:val="none"/>
        </w:rPr>
        <w:t xml:space="preserve">2.1  </w:t>
      </w:r>
      <w:r>
        <w:rPr>
          <w:rFonts w:hint="eastAsia" w:ascii="宋体" w:hAnsi="宋体"/>
          <w:color w:val="auto"/>
          <w:szCs w:val="21"/>
          <w:highlight w:val="none"/>
        </w:rPr>
        <w:t>投标人未按照招标文件的要求提供投标保证金的；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2.2  投标文件无法定代表人签字或盖章，或签字人无法定代表人有效授权委托书原件的；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2.3  投标人资格条件不符合国家有关规定和招标文件要求；</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2.4  投标总价或分项报价超过预算控制金额的；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2.5  开标一览表出现无报价或报价为零或有选择性报价的；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2.6  </w:t>
      </w:r>
      <w:r>
        <w:rPr>
          <w:rFonts w:hint="eastAsia" w:ascii="宋体" w:hAnsi="宋体"/>
          <w:color w:val="auto"/>
          <w:spacing w:val="-2"/>
          <w:szCs w:val="21"/>
          <w:highlight w:val="none"/>
        </w:rPr>
        <w:t>投标人以他人的名义投标、串通投标、以行贿手段谋取中标或者以其他弄虚作假方式投标；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2.7  </w:t>
      </w:r>
      <w:r>
        <w:rPr>
          <w:rFonts w:hint="eastAsia" w:ascii="宋体" w:hAnsi="宋体"/>
          <w:color w:val="auto"/>
          <w:spacing w:val="-2"/>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2.8  投标人拒不按照要求对投标文件进行澄清、说明或者补正的；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2.9  文件的关键内容字迹模糊、无法辨认的；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2.10  投标函未按规定填写的；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2.11  投标有效期不足的；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2.12  </w:t>
      </w:r>
      <w:r>
        <w:rPr>
          <w:rFonts w:hint="eastAsia" w:ascii="宋体" w:hAnsi="宋体"/>
          <w:color w:val="auto"/>
          <w:spacing w:val="-6"/>
          <w:szCs w:val="21"/>
          <w:highlight w:val="none"/>
        </w:rPr>
        <w:t>投标人的投标未能在实质上响应招标文件提出的所有实质性要求和条件（不可偏离条款）的；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2.13  </w:t>
      </w:r>
      <w:r>
        <w:rPr>
          <w:rFonts w:ascii="宋体" w:hAnsi="宋体"/>
          <w:color w:val="auto"/>
          <w:szCs w:val="21"/>
          <w:highlight w:val="none"/>
        </w:rPr>
        <w:t>投标报价有严重缺漏项目的</w:t>
      </w:r>
      <w:r>
        <w:rPr>
          <w:rFonts w:hint="eastAsia"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2.14  联合体投标未附联合体各方共同投标协议的；联合体成员</w:t>
      </w:r>
      <w:r>
        <w:rPr>
          <w:rFonts w:ascii="宋体" w:hAnsi="宋体"/>
          <w:color w:val="auto"/>
          <w:szCs w:val="21"/>
          <w:highlight w:val="none"/>
        </w:rPr>
        <w:t>再以自己名义单独投标，</w:t>
      </w:r>
      <w:r>
        <w:rPr>
          <w:rFonts w:hint="eastAsia" w:ascii="宋体" w:hAnsi="宋体"/>
          <w:color w:val="auto"/>
          <w:szCs w:val="21"/>
          <w:highlight w:val="none"/>
        </w:rPr>
        <w:t>及</w:t>
      </w:r>
      <w:r>
        <w:rPr>
          <w:rFonts w:ascii="宋体" w:hAnsi="宋体"/>
          <w:color w:val="auto"/>
          <w:szCs w:val="21"/>
          <w:highlight w:val="none"/>
        </w:rPr>
        <w:t>组成或参加其他联合体在同一项目中投标</w:t>
      </w:r>
      <w:r>
        <w:rPr>
          <w:rFonts w:hint="eastAsia" w:ascii="宋体" w:hAnsi="宋体"/>
          <w:color w:val="auto"/>
          <w:szCs w:val="21"/>
          <w:highlight w:val="none"/>
        </w:rPr>
        <w:t>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2.15  </w:t>
      </w:r>
      <w:r>
        <w:rPr>
          <w:rFonts w:ascii="宋体" w:hAnsi="宋体"/>
          <w:color w:val="auto"/>
          <w:szCs w:val="21"/>
          <w:highlight w:val="none"/>
        </w:rPr>
        <w:t>投标人递交两份或多份内容不同</w:t>
      </w:r>
      <w:r>
        <w:rPr>
          <w:rFonts w:hint="eastAsia" w:ascii="宋体" w:hAnsi="宋体"/>
          <w:color w:val="auto"/>
          <w:szCs w:val="21"/>
          <w:highlight w:val="none"/>
        </w:rPr>
        <w:t>投标方案（</w:t>
      </w:r>
      <w:r>
        <w:rPr>
          <w:rFonts w:ascii="宋体" w:hAnsi="宋体"/>
          <w:color w:val="auto"/>
          <w:szCs w:val="21"/>
          <w:highlight w:val="none"/>
        </w:rPr>
        <w:t>招标文件规定提交备选投标方案的除外</w:t>
      </w:r>
      <w:r>
        <w:rPr>
          <w:rFonts w:hint="eastAsia" w:ascii="宋体" w:hAnsi="宋体"/>
          <w:color w:val="auto"/>
          <w:szCs w:val="21"/>
          <w:highlight w:val="none"/>
        </w:rPr>
        <w:t>）</w:t>
      </w:r>
      <w:r>
        <w:rPr>
          <w:rFonts w:ascii="宋体" w:hAnsi="宋体"/>
          <w:color w:val="auto"/>
          <w:szCs w:val="21"/>
          <w:highlight w:val="none"/>
        </w:rPr>
        <w:t>；</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2.16  投标文件只对</w:t>
      </w:r>
      <w:r>
        <w:rPr>
          <w:rFonts w:ascii="宋体" w:hAnsi="宋体"/>
          <w:color w:val="auto"/>
          <w:szCs w:val="21"/>
          <w:highlight w:val="none"/>
        </w:rPr>
        <w:t>同一</w:t>
      </w:r>
      <w:r>
        <w:rPr>
          <w:rFonts w:hint="eastAsia" w:ascii="宋体" w:hAnsi="宋体"/>
          <w:color w:val="auto"/>
          <w:szCs w:val="21"/>
          <w:highlight w:val="none"/>
        </w:rPr>
        <w:t>项目</w:t>
      </w:r>
      <w:r>
        <w:rPr>
          <w:rFonts w:ascii="宋体" w:hAnsi="宋体"/>
          <w:color w:val="auto"/>
          <w:szCs w:val="21"/>
          <w:highlight w:val="none"/>
        </w:rPr>
        <w:t>包中的</w:t>
      </w:r>
      <w:r>
        <w:rPr>
          <w:rFonts w:hint="eastAsia" w:ascii="宋体" w:hAnsi="宋体"/>
          <w:color w:val="auto"/>
          <w:szCs w:val="21"/>
          <w:highlight w:val="none"/>
        </w:rPr>
        <w:t>部分</w:t>
      </w:r>
      <w:r>
        <w:rPr>
          <w:rFonts w:ascii="宋体" w:hAnsi="宋体"/>
          <w:color w:val="auto"/>
          <w:szCs w:val="21"/>
          <w:highlight w:val="none"/>
        </w:rPr>
        <w:t>内容</w:t>
      </w:r>
      <w:r>
        <w:rPr>
          <w:rFonts w:hint="eastAsia" w:ascii="宋体" w:hAnsi="宋体"/>
          <w:color w:val="auto"/>
          <w:szCs w:val="21"/>
          <w:highlight w:val="none"/>
        </w:rPr>
        <w:t>投标，或把</w:t>
      </w:r>
      <w:r>
        <w:rPr>
          <w:rFonts w:ascii="宋体" w:hAnsi="宋体"/>
          <w:color w:val="auto"/>
          <w:szCs w:val="21"/>
          <w:highlight w:val="none"/>
        </w:rPr>
        <w:t>同一</w:t>
      </w:r>
      <w:r>
        <w:rPr>
          <w:rFonts w:hint="eastAsia" w:ascii="宋体" w:hAnsi="宋体"/>
          <w:color w:val="auto"/>
          <w:szCs w:val="21"/>
          <w:highlight w:val="none"/>
        </w:rPr>
        <w:t>项目</w:t>
      </w:r>
      <w:r>
        <w:rPr>
          <w:rFonts w:ascii="宋体" w:hAnsi="宋体"/>
          <w:color w:val="auto"/>
          <w:szCs w:val="21"/>
          <w:highlight w:val="none"/>
        </w:rPr>
        <w:t>包中</w:t>
      </w:r>
      <w:r>
        <w:rPr>
          <w:rFonts w:hint="eastAsia" w:ascii="宋体" w:hAnsi="宋体"/>
          <w:color w:val="auto"/>
          <w:szCs w:val="21"/>
          <w:highlight w:val="none"/>
        </w:rPr>
        <w:t>的内容拆开的投标；</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2.17  评标委员会根据招标文件的规定对投标文件的计算错误进行修正，投标人不接受修正后的投标报价的；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2.18  投标文件符合法律、法规及</w:t>
      </w:r>
      <w:r>
        <w:rPr>
          <w:rFonts w:hint="eastAsia" w:ascii="宋体" w:hAnsi="宋体"/>
          <w:color w:val="auto"/>
          <w:highlight w:val="none"/>
        </w:rPr>
        <w:t>招标文件中规定的其他否决因素的。</w:t>
      </w:r>
    </w:p>
    <w:p>
      <w:pPr>
        <w:spacing w:line="440" w:lineRule="exact"/>
        <w:jc w:val="center"/>
        <w:rPr>
          <w:rFonts w:ascii="黑体" w:hAnsi="宋体" w:eastAsia="黑体"/>
          <w:bCs/>
          <w:color w:val="auto"/>
          <w:sz w:val="24"/>
          <w:szCs w:val="24"/>
          <w:highlight w:val="none"/>
        </w:rPr>
      </w:pPr>
    </w:p>
    <w:p>
      <w:pPr>
        <w:jc w:val="center"/>
        <w:outlineLvl w:val="1"/>
        <w:rPr>
          <w:rFonts w:ascii="微软雅黑" w:hAnsi="微软雅黑" w:eastAsia="微软雅黑" w:cs="微软雅黑"/>
          <w:b/>
          <w:color w:val="auto"/>
          <w:sz w:val="24"/>
          <w:szCs w:val="24"/>
          <w:highlight w:val="none"/>
        </w:rPr>
      </w:pPr>
      <w:bookmarkStart w:id="9" w:name="_Toc921"/>
      <w:r>
        <w:rPr>
          <w:rFonts w:hint="eastAsia" w:ascii="微软雅黑" w:hAnsi="微软雅黑" w:eastAsia="微软雅黑" w:cs="微软雅黑"/>
          <w:b/>
          <w:color w:val="auto"/>
          <w:sz w:val="24"/>
          <w:szCs w:val="24"/>
          <w:highlight w:val="none"/>
        </w:rPr>
        <w:t>第六节  评标方法及程序</w:t>
      </w:r>
      <w:bookmarkEnd w:id="9"/>
    </w:p>
    <w:p>
      <w:pPr>
        <w:spacing w:line="36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一、本项目评标及定标方法</w:t>
      </w:r>
    </w:p>
    <w:tbl>
      <w:tblPr>
        <w:tblStyle w:val="4"/>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770"/>
        <w:gridCol w:w="6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785" w:type="dxa"/>
            <w:vAlign w:val="center"/>
          </w:tcPr>
          <w:p>
            <w:pPr>
              <w:spacing w:line="440" w:lineRule="exact"/>
              <w:jc w:val="center"/>
              <w:rPr>
                <w:rFonts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序号</w:t>
            </w:r>
          </w:p>
        </w:tc>
        <w:tc>
          <w:tcPr>
            <w:tcW w:w="1770" w:type="dxa"/>
            <w:vAlign w:val="center"/>
          </w:tcPr>
          <w:p>
            <w:pPr>
              <w:spacing w:line="440" w:lineRule="exact"/>
              <w:jc w:val="center"/>
              <w:rPr>
                <w:rFonts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项目</w:t>
            </w:r>
          </w:p>
        </w:tc>
        <w:tc>
          <w:tcPr>
            <w:tcW w:w="6660" w:type="dxa"/>
            <w:vAlign w:val="center"/>
          </w:tcPr>
          <w:p>
            <w:pPr>
              <w:spacing w:line="440" w:lineRule="exact"/>
              <w:jc w:val="center"/>
              <w:rPr>
                <w:rFonts w:ascii="宋体" w:hAnsi="宋体" w:eastAsiaTheme="minorEastAsia" w:cstheme="minorBidi"/>
                <w:b/>
                <w:bCs/>
                <w:color w:val="auto"/>
                <w:szCs w:val="21"/>
                <w:highlight w:val="none"/>
              </w:rPr>
            </w:pPr>
            <w:r>
              <w:rPr>
                <w:rFonts w:hint="eastAsia" w:ascii="宋体" w:hAnsi="宋体" w:eastAsiaTheme="minorEastAsia" w:cstheme="minorBidi"/>
                <w:b/>
                <w:bCs/>
                <w:color w:val="auto"/>
                <w:szCs w:val="21"/>
                <w:highlight w:val="none"/>
              </w:rPr>
              <w:t>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1</w:t>
            </w:r>
          </w:p>
        </w:tc>
        <w:tc>
          <w:tcPr>
            <w:tcW w:w="1770" w:type="dxa"/>
            <w:vAlign w:val="center"/>
          </w:tcPr>
          <w:p>
            <w:pPr>
              <w:spacing w:line="440" w:lineRule="exact"/>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定标方式</w:t>
            </w:r>
          </w:p>
        </w:tc>
        <w:tc>
          <w:tcPr>
            <w:tcW w:w="6660" w:type="dxa"/>
            <w:vAlign w:val="center"/>
          </w:tcPr>
          <w:p>
            <w:pPr>
              <w:spacing w:line="440" w:lineRule="exact"/>
              <w:rPr>
                <w:rFonts w:ascii="宋体" w:hAnsi="宋体" w:eastAsiaTheme="minorEastAsia" w:cstheme="minorBidi"/>
                <w:b/>
                <w:bCs/>
                <w:color w:val="auto"/>
                <w:szCs w:val="21"/>
                <w:highlight w:val="none"/>
              </w:rPr>
            </w:pPr>
            <w:r>
              <w:rPr>
                <w:rFonts w:hint="eastAsia" w:ascii="MS Mincho" w:hAnsi="MS Mincho" w:cs="MS Mincho" w:eastAsiaTheme="minorEastAsia"/>
                <w:snapToGrid w:val="0"/>
                <w:color w:val="auto"/>
                <w:kern w:val="0"/>
                <w:szCs w:val="21"/>
                <w:highlight w:val="none"/>
              </w:rPr>
              <w:t xml:space="preserve">■ </w:t>
            </w:r>
            <w:r>
              <w:rPr>
                <w:rFonts w:hint="eastAsia" w:ascii="宋体" w:hAnsi="宋体" w:eastAsiaTheme="minorEastAsia" w:cstheme="minorBidi"/>
                <w:color w:val="auto"/>
                <w:szCs w:val="21"/>
                <w:highlight w:val="none"/>
              </w:rPr>
              <w:t xml:space="preserve">授权评标委员会确定中标单位   </w:t>
            </w:r>
            <w:r>
              <w:rPr>
                <w:rFonts w:hint="eastAsia" w:ascii="宋体" w:hAnsi="宋体" w:eastAsiaTheme="minorEastAsia" w:cstheme="minorBidi"/>
                <w:snapToGrid w:val="0"/>
                <w:color w:val="auto"/>
                <w:kern w:val="0"/>
                <w:szCs w:val="21"/>
                <w:highlight w:val="none"/>
              </w:rPr>
              <w:t xml:space="preserve">□ </w:t>
            </w:r>
            <w:r>
              <w:rPr>
                <w:rFonts w:hint="eastAsia" w:asciiTheme="minorHAnsi" w:hAnsiTheme="minorHAnsi" w:eastAsiaTheme="minorEastAsia" w:cstheme="minorBidi"/>
                <w:color w:val="auto"/>
                <w:szCs w:val="22"/>
                <w:highlight w:val="none"/>
              </w:rPr>
              <w:t>评标和定标分离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2</w:t>
            </w:r>
          </w:p>
        </w:tc>
        <w:tc>
          <w:tcPr>
            <w:tcW w:w="1770" w:type="dxa"/>
            <w:vAlign w:val="center"/>
          </w:tcPr>
          <w:p>
            <w:pPr>
              <w:spacing w:line="440" w:lineRule="exact"/>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评标方法</w:t>
            </w:r>
          </w:p>
        </w:tc>
        <w:tc>
          <w:tcPr>
            <w:tcW w:w="6660" w:type="dxa"/>
            <w:vAlign w:val="center"/>
          </w:tcPr>
          <w:p>
            <w:pPr>
              <w:spacing w:line="440" w:lineRule="exact"/>
              <w:rPr>
                <w:rFonts w:ascii="宋体" w:hAnsi="宋体" w:eastAsiaTheme="minorEastAsia" w:cstheme="minorBidi"/>
                <w:b/>
                <w:bCs/>
                <w:color w:val="auto"/>
                <w:szCs w:val="21"/>
                <w:highlight w:val="none"/>
              </w:rPr>
            </w:pPr>
            <w:r>
              <w:rPr>
                <w:rFonts w:hint="eastAsia" w:ascii="MS Mincho" w:hAnsi="MS Mincho" w:cs="MS Mincho" w:eastAsiaTheme="minorEastAsia"/>
                <w:snapToGrid w:val="0"/>
                <w:color w:val="auto"/>
                <w:kern w:val="0"/>
                <w:szCs w:val="21"/>
                <w:highlight w:val="none"/>
              </w:rPr>
              <w:t xml:space="preserve">■ </w:t>
            </w:r>
            <w:r>
              <w:rPr>
                <w:rFonts w:hint="eastAsia" w:ascii="宋体" w:hAnsi="宋体" w:eastAsiaTheme="minorEastAsia" w:cstheme="minorBidi"/>
                <w:color w:val="auto"/>
                <w:szCs w:val="21"/>
                <w:highlight w:val="none"/>
              </w:rPr>
              <w:t xml:space="preserve">综合评分法    </w:t>
            </w:r>
            <w:r>
              <w:rPr>
                <w:rFonts w:hint="eastAsia" w:ascii="宋体" w:hAnsi="宋体" w:eastAsiaTheme="minorEastAsia" w:cstheme="minorBidi"/>
                <w:snapToGrid w:val="0"/>
                <w:color w:val="auto"/>
                <w:kern w:val="0"/>
                <w:szCs w:val="21"/>
                <w:highlight w:val="none"/>
              </w:rPr>
              <w:t xml:space="preserve">□ </w:t>
            </w:r>
            <w:r>
              <w:rPr>
                <w:rFonts w:hint="eastAsia" w:ascii="Calibri" w:hAnsi="Calibri" w:eastAsiaTheme="minorEastAsia" w:cstheme="minorBidi"/>
                <w:color w:val="auto"/>
                <w:szCs w:val="21"/>
                <w:highlight w:val="none"/>
              </w:rPr>
              <w:t>最低价法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pPr>
              <w:spacing w:line="440" w:lineRule="exact"/>
              <w:jc w:val="center"/>
              <w:rPr>
                <w:rFonts w:ascii="宋体" w:hAnsi="宋体" w:eastAsiaTheme="minorEastAsia" w:cstheme="minorBidi"/>
                <w:bCs/>
                <w:color w:val="auto"/>
                <w:szCs w:val="21"/>
                <w:highlight w:val="none"/>
              </w:rPr>
            </w:pPr>
            <w:r>
              <w:rPr>
                <w:rFonts w:ascii="宋体" w:hAnsi="宋体" w:eastAsiaTheme="minorEastAsia" w:cstheme="minorBidi"/>
                <w:bCs/>
                <w:color w:val="auto"/>
                <w:szCs w:val="21"/>
                <w:highlight w:val="none"/>
              </w:rPr>
              <w:t>3</w:t>
            </w:r>
          </w:p>
        </w:tc>
        <w:tc>
          <w:tcPr>
            <w:tcW w:w="1770" w:type="dxa"/>
            <w:vAlign w:val="center"/>
          </w:tcPr>
          <w:p>
            <w:pPr>
              <w:spacing w:line="440" w:lineRule="exact"/>
              <w:rPr>
                <w:rFonts w:ascii="宋体" w:hAnsi="宋体" w:eastAsiaTheme="minorEastAsia" w:cstheme="minorBidi"/>
                <w:bCs/>
                <w:color w:val="auto"/>
                <w:szCs w:val="21"/>
                <w:highlight w:val="none"/>
              </w:rPr>
            </w:pPr>
            <w:r>
              <w:rPr>
                <w:rFonts w:hint="eastAsia" w:ascii="宋体" w:hAnsi="宋体" w:eastAsiaTheme="minorEastAsia" w:cstheme="minorBidi"/>
                <w:bCs/>
                <w:color w:val="auto"/>
                <w:szCs w:val="21"/>
                <w:highlight w:val="none"/>
              </w:rPr>
              <w:t>价格评审优惠政策</w:t>
            </w:r>
          </w:p>
        </w:tc>
        <w:tc>
          <w:tcPr>
            <w:tcW w:w="6660" w:type="dxa"/>
            <w:vAlign w:val="center"/>
          </w:tcPr>
          <w:p>
            <w:pPr>
              <w:spacing w:line="440" w:lineRule="exact"/>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1、小型企业、微型企业、监狱企业、残疾人福利性单位承接服务，对其价格给予10%的扣除，用扣除后的价格参与评审。满足多项优惠政策的企业，不重复享受多项价格扣除政策。</w:t>
            </w:r>
          </w:p>
          <w:p>
            <w:pPr>
              <w:spacing w:line="440" w:lineRule="exact"/>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扣除，用扣除后的价格参加评审。联合体各方均为小微企业的，价格扣除比例为10%。</w:t>
            </w:r>
            <w:r>
              <w:rPr>
                <w:rFonts w:hint="eastAsia" w:asciiTheme="majorEastAsia" w:hAnsiTheme="majorEastAsia" w:eastAsiaTheme="majorEastAsia" w:cstheme="majorEastAsia"/>
                <w:b/>
                <w:color w:val="auto"/>
                <w:szCs w:val="22"/>
                <w:highlight w:val="none"/>
              </w:rPr>
              <w:t>（不接受联合体投标的项目，本条不适用）</w:t>
            </w:r>
            <w:r>
              <w:rPr>
                <w:rFonts w:hint="eastAsia" w:asciiTheme="majorEastAsia" w:hAnsiTheme="majorEastAsia" w:eastAsiaTheme="majorEastAsia" w:cstheme="majorEastAsia"/>
                <w:color w:val="auto"/>
                <w:szCs w:val="22"/>
                <w:highlight w:val="none"/>
              </w:rPr>
              <w:t>。</w:t>
            </w:r>
          </w:p>
          <w:p>
            <w:pPr>
              <w:spacing w:line="440" w:lineRule="exact"/>
              <w:rPr>
                <w:rFonts w:ascii="宋体" w:hAnsi="宋体" w:eastAsiaTheme="minorEastAsia" w:cstheme="minorBidi"/>
                <w:b/>
                <w:bCs/>
                <w:color w:val="auto"/>
                <w:szCs w:val="21"/>
                <w:highlight w:val="none"/>
              </w:rPr>
            </w:pPr>
            <w:r>
              <w:rPr>
                <w:rFonts w:hint="eastAsia" w:asciiTheme="majorEastAsia" w:hAnsiTheme="majorEastAsia" w:eastAsiaTheme="majorEastAsia" w:cstheme="majorEastAsia"/>
                <w:color w:val="auto"/>
                <w:szCs w:val="22"/>
                <w:highlight w:val="none"/>
              </w:rPr>
              <w:t>3、优惠主体资格的认定资料为《中小企业声明函》《残疾人福利性单位声明函》《监狱企业声明函》等承诺性质的资料（声明函样式见“第五章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备注：</w:t>
      </w:r>
      <w:r>
        <w:rPr>
          <w:rFonts w:hint="eastAsia" w:ascii="宋体" w:hAnsi="宋体"/>
          <w:snapToGrid w:val="0"/>
          <w:color w:val="auto"/>
          <w:kern w:val="0"/>
          <w:szCs w:val="21"/>
          <w:highlight w:val="none"/>
        </w:rPr>
        <w:t>用“</w:t>
      </w:r>
      <w:r>
        <w:rPr>
          <w:rFonts w:hint="eastAsia" w:ascii="MS Mincho" w:hAnsi="MS Mincho" w:cs="MS Mincho" w:eastAsiaTheme="minorEastAsia"/>
          <w:snapToGrid w:val="0"/>
          <w:color w:val="auto"/>
          <w:kern w:val="0"/>
          <w:szCs w:val="21"/>
          <w:highlight w:val="none"/>
        </w:rPr>
        <w:t>■</w:t>
      </w:r>
      <w:r>
        <w:rPr>
          <w:rFonts w:hint="eastAsia" w:ascii="宋体" w:hAnsi="宋体"/>
          <w:snapToGrid w:val="0"/>
          <w:color w:val="auto"/>
          <w:kern w:val="0"/>
          <w:szCs w:val="21"/>
          <w:highlight w:val="none"/>
        </w:rPr>
        <w:t>”标识时表明该选项被采购人选用，用“□”标识时表明该选项未被采购人选用。</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二、本项目评标信息</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1、</w:t>
      </w:r>
      <w:r>
        <w:rPr>
          <w:rFonts w:ascii="宋体" w:hAnsi="宋体"/>
          <w:b/>
          <w:bCs/>
          <w:color w:val="auto"/>
          <w:szCs w:val="21"/>
          <w:highlight w:val="none"/>
        </w:rPr>
        <w:t>符合性检查表</w:t>
      </w:r>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70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2" w:type="dxa"/>
            <w:vAlign w:val="center"/>
          </w:tcPr>
          <w:p>
            <w:pPr>
              <w:spacing w:line="440" w:lineRule="exact"/>
              <w:jc w:val="center"/>
              <w:rPr>
                <w:rFonts w:ascii="宋体" w:hAnsi="宋体"/>
                <w:b/>
                <w:color w:val="auto"/>
                <w:highlight w:val="none"/>
              </w:rPr>
            </w:pPr>
            <w:r>
              <w:rPr>
                <w:rFonts w:ascii="宋体" w:hAnsi="宋体"/>
                <w:b/>
                <w:color w:val="auto"/>
                <w:highlight w:val="none"/>
              </w:rPr>
              <w:t>序号</w:t>
            </w:r>
          </w:p>
        </w:tc>
        <w:tc>
          <w:tcPr>
            <w:tcW w:w="6706" w:type="dxa"/>
            <w:vAlign w:val="center"/>
          </w:tcPr>
          <w:p>
            <w:pPr>
              <w:spacing w:line="440" w:lineRule="exact"/>
              <w:ind w:left="-828" w:firstLine="828"/>
              <w:jc w:val="center"/>
              <w:rPr>
                <w:rFonts w:ascii="宋体" w:hAnsi="宋体"/>
                <w:b/>
                <w:color w:val="auto"/>
                <w:sz w:val="24"/>
                <w:highlight w:val="none"/>
              </w:rPr>
            </w:pPr>
            <w:r>
              <w:rPr>
                <w:rFonts w:ascii="宋体" w:hAnsi="宋体"/>
                <w:b/>
                <w:color w:val="auto"/>
                <w:highlight w:val="none"/>
              </w:rPr>
              <w:t>评议内容</w:t>
            </w:r>
          </w:p>
        </w:tc>
        <w:tc>
          <w:tcPr>
            <w:tcW w:w="1497" w:type="dxa"/>
            <w:vAlign w:val="center"/>
          </w:tcPr>
          <w:p>
            <w:pPr>
              <w:spacing w:line="440" w:lineRule="exact"/>
              <w:ind w:left="44" w:hanging="44"/>
              <w:jc w:val="center"/>
              <w:rPr>
                <w:rFonts w:ascii="宋体" w:hAnsi="宋体"/>
                <w:b/>
                <w:color w:val="auto"/>
                <w:sz w:val="24"/>
                <w:highlight w:val="none"/>
              </w:rPr>
            </w:pPr>
            <w:r>
              <w:rPr>
                <w:rFonts w:ascii="宋体" w:hAnsi="宋体"/>
                <w:b/>
                <w:color w:val="auto"/>
                <w:highlight w:val="none"/>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1</w:t>
            </w:r>
          </w:p>
        </w:tc>
        <w:tc>
          <w:tcPr>
            <w:tcW w:w="6706" w:type="dxa"/>
            <w:vAlign w:val="center"/>
          </w:tcPr>
          <w:p>
            <w:pPr>
              <w:spacing w:line="440" w:lineRule="exact"/>
              <w:rPr>
                <w:rFonts w:ascii="宋体" w:hAnsi="宋体"/>
                <w:color w:val="auto"/>
                <w:sz w:val="24"/>
                <w:highlight w:val="none"/>
              </w:rPr>
            </w:pPr>
            <w:r>
              <w:rPr>
                <w:rFonts w:hint="eastAsia" w:hAnsi="宋体"/>
                <w:color w:val="auto"/>
                <w:szCs w:val="21"/>
                <w:highlight w:val="none"/>
              </w:rPr>
              <w:t>按照招标文件的格式详细填写“投标函”</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2</w:t>
            </w:r>
          </w:p>
        </w:tc>
        <w:tc>
          <w:tcPr>
            <w:tcW w:w="6706" w:type="dxa"/>
            <w:vAlign w:val="center"/>
          </w:tcPr>
          <w:p>
            <w:pPr>
              <w:spacing w:line="440" w:lineRule="exact"/>
              <w:rPr>
                <w:rFonts w:ascii="宋体" w:hAnsi="宋体"/>
                <w:color w:val="auto"/>
                <w:highlight w:val="none"/>
              </w:rPr>
            </w:pPr>
            <w:r>
              <w:rPr>
                <w:rFonts w:hint="eastAsia" w:hAnsi="宋体"/>
                <w:color w:val="auto"/>
                <w:szCs w:val="21"/>
                <w:highlight w:val="none"/>
              </w:rPr>
              <w:t>按照招标文件的格式详细填写“</w:t>
            </w:r>
            <w:r>
              <w:rPr>
                <w:rFonts w:hint="eastAsia" w:ascii="宋体" w:hAnsi="宋体"/>
                <w:color w:val="auto"/>
                <w:highlight w:val="none"/>
              </w:rPr>
              <w:t>政府采购投标及履约承诺函</w:t>
            </w:r>
            <w:r>
              <w:rPr>
                <w:rFonts w:hint="eastAsia" w:hAnsi="宋体"/>
                <w:color w:val="auto"/>
                <w:szCs w:val="21"/>
                <w:highlight w:val="none"/>
              </w:rPr>
              <w:t>”</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3</w:t>
            </w:r>
          </w:p>
        </w:tc>
        <w:tc>
          <w:tcPr>
            <w:tcW w:w="6706" w:type="dxa"/>
            <w:vAlign w:val="center"/>
          </w:tcPr>
          <w:p>
            <w:pPr>
              <w:spacing w:line="440" w:lineRule="exact"/>
              <w:rPr>
                <w:rFonts w:ascii="宋体" w:hAnsi="宋体"/>
                <w:color w:val="auto"/>
                <w:highlight w:val="none"/>
              </w:rPr>
            </w:pPr>
            <w:r>
              <w:rPr>
                <w:rFonts w:hint="eastAsia" w:ascii="宋体" w:hAnsi="宋体"/>
                <w:color w:val="auto"/>
                <w:highlight w:val="none"/>
              </w:rPr>
              <w:t>开标一览表未出现无报价、报价为零或有选择性报价</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4</w:t>
            </w:r>
          </w:p>
        </w:tc>
        <w:tc>
          <w:tcPr>
            <w:tcW w:w="6706" w:type="dxa"/>
            <w:vAlign w:val="center"/>
          </w:tcPr>
          <w:p>
            <w:pPr>
              <w:spacing w:line="440" w:lineRule="exact"/>
              <w:rPr>
                <w:rFonts w:ascii="宋体" w:hAnsi="宋体"/>
                <w:color w:val="auto"/>
                <w:highlight w:val="none"/>
              </w:rPr>
            </w:pPr>
            <w:r>
              <w:rPr>
                <w:rFonts w:hint="eastAsia" w:ascii="宋体" w:hAnsi="宋体"/>
                <w:color w:val="auto"/>
                <w:highlight w:val="none"/>
              </w:rPr>
              <w:t>投标总价</w:t>
            </w:r>
            <w:r>
              <w:rPr>
                <w:rFonts w:hint="eastAsia" w:ascii="宋体" w:hAnsi="宋体"/>
                <w:color w:val="auto"/>
                <w:szCs w:val="21"/>
                <w:highlight w:val="none"/>
              </w:rPr>
              <w:t>或分项报价</w:t>
            </w:r>
            <w:r>
              <w:rPr>
                <w:rFonts w:hint="eastAsia" w:ascii="宋体" w:hAnsi="宋体"/>
                <w:color w:val="auto"/>
                <w:highlight w:val="none"/>
              </w:rPr>
              <w:t>未超过预算控制金额</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5</w:t>
            </w:r>
          </w:p>
        </w:tc>
        <w:tc>
          <w:tcPr>
            <w:tcW w:w="6706" w:type="dxa"/>
            <w:vAlign w:val="center"/>
          </w:tcPr>
          <w:p>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评标委员会认为投标人的报价明显低于其他通过符合性审查投标人的报价，有可能影响产品质量或者不能诚信履约的，投标人能在</w:t>
            </w:r>
            <w:r>
              <w:rPr>
                <w:rFonts w:hint="eastAsia" w:asciiTheme="minorEastAsia" w:hAnsiTheme="minorEastAsia" w:eastAsiaTheme="minorEastAsia"/>
                <w:color w:val="auto"/>
                <w:szCs w:val="21"/>
                <w:highlight w:val="none"/>
              </w:rPr>
              <w:t>评标现场</w:t>
            </w:r>
            <w:r>
              <w:rPr>
                <w:rFonts w:asciiTheme="minorEastAsia" w:hAnsiTheme="minorEastAsia" w:eastAsiaTheme="minorEastAsia"/>
                <w:color w:val="auto"/>
                <w:szCs w:val="21"/>
                <w:highlight w:val="none"/>
              </w:rPr>
              <w:t>合理的时间内提供书面说明</w:t>
            </w:r>
            <w:r>
              <w:rPr>
                <w:rFonts w:hint="eastAsia" w:asciiTheme="minorEastAsia" w:hAnsiTheme="minorEastAsia" w:eastAsiaTheme="minorEastAsia"/>
                <w:color w:val="auto"/>
                <w:szCs w:val="21"/>
                <w:highlight w:val="none"/>
              </w:rPr>
              <w:t>（必要时提交相关证明材料）</w:t>
            </w:r>
            <w:r>
              <w:rPr>
                <w:rFonts w:asciiTheme="minorEastAsia" w:hAnsiTheme="minorEastAsia" w:eastAsiaTheme="minorEastAsia"/>
                <w:color w:val="auto"/>
                <w:szCs w:val="21"/>
                <w:highlight w:val="none"/>
              </w:rPr>
              <w:t>或提交</w:t>
            </w:r>
            <w:r>
              <w:rPr>
                <w:rFonts w:hint="eastAsia" w:asciiTheme="minorEastAsia" w:hAnsiTheme="minorEastAsia" w:eastAsiaTheme="minorEastAsia"/>
                <w:color w:val="auto"/>
                <w:szCs w:val="21"/>
                <w:highlight w:val="none"/>
              </w:rPr>
              <w:t>的书面说明</w:t>
            </w:r>
            <w:r>
              <w:rPr>
                <w:rFonts w:asciiTheme="minorEastAsia" w:hAnsiTheme="minorEastAsia" w:eastAsiaTheme="minorEastAsia"/>
                <w:color w:val="auto"/>
                <w:szCs w:val="21"/>
                <w:highlight w:val="none"/>
              </w:rPr>
              <w:t>能证明其报价合理性</w:t>
            </w:r>
            <w:r>
              <w:rPr>
                <w:rFonts w:hint="eastAsia" w:asciiTheme="minorEastAsia" w:hAnsiTheme="minorEastAsia" w:eastAsiaTheme="minorEastAsia"/>
                <w:color w:val="auto"/>
                <w:szCs w:val="21"/>
                <w:highlight w:val="none"/>
              </w:rPr>
              <w:t>。（若</w:t>
            </w:r>
            <w:r>
              <w:rPr>
                <w:rFonts w:asciiTheme="minorEastAsia" w:hAnsiTheme="minorEastAsia" w:eastAsiaTheme="minorEastAsia"/>
                <w:color w:val="auto"/>
                <w:szCs w:val="21"/>
                <w:highlight w:val="none"/>
              </w:rPr>
              <w:t>评标委员会</w:t>
            </w:r>
            <w:r>
              <w:rPr>
                <w:rFonts w:hint="eastAsia" w:asciiTheme="minorEastAsia" w:hAnsiTheme="minorEastAsia" w:eastAsiaTheme="minorEastAsia"/>
                <w:color w:val="auto"/>
                <w:szCs w:val="21"/>
                <w:highlight w:val="none"/>
              </w:rPr>
              <w:t>成员对是否须由投标人做出报价合理性说明，以及书面说明是否采纳等判断不一致的，按照“少数服从多数”的原则确定。）</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6</w:t>
            </w:r>
          </w:p>
        </w:tc>
        <w:tc>
          <w:tcPr>
            <w:tcW w:w="6706" w:type="dxa"/>
            <w:vAlign w:val="center"/>
          </w:tcPr>
          <w:p>
            <w:pPr>
              <w:spacing w:line="440" w:lineRule="exact"/>
              <w:rPr>
                <w:rFonts w:ascii="宋体" w:hAnsi="宋体"/>
                <w:color w:val="auto"/>
                <w:highlight w:val="none"/>
              </w:rPr>
            </w:pPr>
            <w:r>
              <w:rPr>
                <w:color w:val="auto"/>
                <w:szCs w:val="21"/>
                <w:highlight w:val="none"/>
              </w:rPr>
              <w:t>实质性满足招标文件要求</w:t>
            </w:r>
            <w:r>
              <w:rPr>
                <w:rFonts w:hint="eastAsia"/>
                <w:color w:val="auto"/>
                <w:szCs w:val="21"/>
                <w:highlight w:val="none"/>
              </w:rPr>
              <w:t>和条件</w:t>
            </w:r>
            <w:r>
              <w:rPr>
                <w:color w:val="auto"/>
                <w:szCs w:val="21"/>
                <w:highlight w:val="none"/>
              </w:rPr>
              <w:t>（</w:t>
            </w:r>
            <w:r>
              <w:rPr>
                <w:rFonts w:hint="eastAsia" w:ascii="宋体" w:hAnsi="宋体"/>
                <w:color w:val="auto"/>
                <w:highlight w:val="none"/>
              </w:rPr>
              <w:t>不可偏离项检查</w:t>
            </w:r>
            <w:r>
              <w:rPr>
                <w:color w:val="auto"/>
                <w:szCs w:val="21"/>
                <w:highlight w:val="none"/>
              </w:rPr>
              <w:t>）</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7</w:t>
            </w:r>
          </w:p>
        </w:tc>
        <w:tc>
          <w:tcPr>
            <w:tcW w:w="6706" w:type="dxa"/>
            <w:vAlign w:val="center"/>
          </w:tcPr>
          <w:p>
            <w:pPr>
              <w:spacing w:line="440" w:lineRule="exact"/>
              <w:rPr>
                <w:color w:val="auto"/>
                <w:szCs w:val="21"/>
                <w:highlight w:val="none"/>
              </w:rPr>
            </w:pPr>
            <w:r>
              <w:rPr>
                <w:color w:val="auto"/>
                <w:szCs w:val="21"/>
                <w:highlight w:val="none"/>
              </w:rPr>
              <w:t>投标文件载明的项目服务期</w:t>
            </w:r>
            <w:r>
              <w:rPr>
                <w:rFonts w:hint="eastAsia"/>
                <w:color w:val="auto"/>
                <w:szCs w:val="21"/>
                <w:highlight w:val="none"/>
              </w:rPr>
              <w:t>符合</w:t>
            </w:r>
            <w:r>
              <w:rPr>
                <w:color w:val="auto"/>
                <w:szCs w:val="21"/>
                <w:highlight w:val="none"/>
              </w:rPr>
              <w:t>招标文件规定的期限</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8</w:t>
            </w:r>
          </w:p>
        </w:tc>
        <w:tc>
          <w:tcPr>
            <w:tcW w:w="6706" w:type="dxa"/>
            <w:vAlign w:val="center"/>
          </w:tcPr>
          <w:p>
            <w:pPr>
              <w:spacing w:line="440" w:lineRule="exact"/>
              <w:jc w:val="left"/>
              <w:rPr>
                <w:rFonts w:ascii="宋体" w:hAnsi="宋体"/>
                <w:color w:val="auto"/>
                <w:highlight w:val="none"/>
              </w:rPr>
            </w:pPr>
            <w:r>
              <w:rPr>
                <w:rFonts w:hint="eastAsia" w:hAnsi="宋体"/>
                <w:color w:val="auto"/>
                <w:szCs w:val="21"/>
                <w:highlight w:val="none"/>
              </w:rPr>
              <w:t>《技术偏离表》和《商务偏离表》已提交</w:t>
            </w:r>
          </w:p>
        </w:tc>
        <w:tc>
          <w:tcPr>
            <w:tcW w:w="1497" w:type="dxa"/>
            <w:vAlign w:val="center"/>
          </w:tcPr>
          <w:p>
            <w:pPr>
              <w:spacing w:line="440" w:lineRule="exact"/>
              <w:ind w:left="57"/>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9</w:t>
            </w:r>
          </w:p>
        </w:tc>
        <w:tc>
          <w:tcPr>
            <w:tcW w:w="6706" w:type="dxa"/>
            <w:vAlign w:val="center"/>
          </w:tcPr>
          <w:p>
            <w:pPr>
              <w:spacing w:line="440" w:lineRule="exact"/>
              <w:rPr>
                <w:rFonts w:ascii="宋体" w:hAnsi="宋体"/>
                <w:color w:val="auto"/>
                <w:highlight w:val="none"/>
              </w:rPr>
            </w:pPr>
            <w:r>
              <w:rPr>
                <w:rFonts w:hint="eastAsia" w:ascii="宋体" w:hAnsi="宋体"/>
                <w:color w:val="auto"/>
                <w:highlight w:val="none"/>
              </w:rPr>
              <w:t>不存在“否决性条款”列明的其他情况</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pPr>
              <w:spacing w:line="440" w:lineRule="exact"/>
              <w:ind w:left="57"/>
              <w:jc w:val="center"/>
              <w:rPr>
                <w:rFonts w:ascii="宋体" w:hAnsi="宋体"/>
                <w:color w:val="auto"/>
                <w:highlight w:val="none"/>
              </w:rPr>
            </w:pPr>
            <w:r>
              <w:rPr>
                <w:rFonts w:hint="eastAsia" w:ascii="宋体" w:hAnsi="宋体"/>
                <w:color w:val="auto"/>
                <w:highlight w:val="none"/>
              </w:rPr>
              <w:t>10</w:t>
            </w:r>
          </w:p>
        </w:tc>
        <w:tc>
          <w:tcPr>
            <w:tcW w:w="6706" w:type="dxa"/>
            <w:vAlign w:val="center"/>
          </w:tcPr>
          <w:p>
            <w:pPr>
              <w:spacing w:line="440" w:lineRule="exact"/>
              <w:rPr>
                <w:rFonts w:ascii="宋体" w:hAnsi="宋体"/>
                <w:color w:val="auto"/>
                <w:szCs w:val="21"/>
                <w:highlight w:val="none"/>
              </w:rPr>
            </w:pPr>
            <w:r>
              <w:rPr>
                <w:rFonts w:ascii="宋体" w:hAnsi="宋体"/>
                <w:color w:val="auto"/>
                <w:szCs w:val="21"/>
                <w:highlight w:val="none"/>
              </w:rPr>
              <w:t>结论</w:t>
            </w:r>
          </w:p>
        </w:tc>
        <w:tc>
          <w:tcPr>
            <w:tcW w:w="1497" w:type="dxa"/>
            <w:vAlign w:val="center"/>
          </w:tcPr>
          <w:p>
            <w:pPr>
              <w:spacing w:line="440" w:lineRule="exact"/>
              <w:jc w:val="center"/>
              <w:rPr>
                <w:rFonts w:ascii="宋体" w:hAnsi="宋体"/>
                <w:color w:val="auto"/>
                <w:szCs w:val="21"/>
                <w:highlight w:val="none"/>
              </w:rPr>
            </w:pPr>
            <w:r>
              <w:rPr>
                <w:rFonts w:ascii="宋体" w:hAnsi="宋体"/>
                <w:color w:val="auto"/>
                <w:szCs w:val="21"/>
                <w:highlight w:val="none"/>
              </w:rPr>
              <w:t>通过/不通过</w:t>
            </w:r>
          </w:p>
        </w:tc>
      </w:tr>
    </w:tbl>
    <w:p>
      <w:pPr>
        <w:spacing w:line="340" w:lineRule="exact"/>
        <w:ind w:firstLine="422" w:firstLineChars="200"/>
        <w:rPr>
          <w:rFonts w:ascii="宋体" w:hAnsi="宋体"/>
          <w:b/>
          <w:color w:val="auto"/>
          <w:szCs w:val="21"/>
          <w:highlight w:val="none"/>
        </w:rPr>
      </w:pPr>
      <w:r>
        <w:rPr>
          <w:rFonts w:hint="eastAsia" w:ascii="宋体" w:hAnsi="宋体"/>
          <w:b/>
          <w:color w:val="auto"/>
          <w:szCs w:val="21"/>
          <w:highlight w:val="none"/>
        </w:rPr>
        <w:t>2、评分表</w:t>
      </w:r>
    </w:p>
    <w:tbl>
      <w:tblPr>
        <w:tblStyle w:val="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49"/>
        <w:gridCol w:w="1662"/>
        <w:gridCol w:w="679"/>
        <w:gridCol w:w="5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090" w:type="dxa"/>
            <w:gridSpan w:val="3"/>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评分项</w:t>
            </w:r>
          </w:p>
        </w:tc>
        <w:tc>
          <w:tcPr>
            <w:tcW w:w="541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3090" w:type="dxa"/>
            <w:gridSpan w:val="3"/>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价格</w:t>
            </w:r>
          </w:p>
        </w:tc>
        <w:tc>
          <w:tcPr>
            <w:tcW w:w="541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jc w:val="center"/>
              <w:rPr>
                <w:rFonts w:ascii="宋体" w:hAnsi="宋体" w:cs="宋体"/>
                <w:color w:val="auto"/>
                <w:szCs w:val="21"/>
                <w:highlight w:val="none"/>
              </w:rPr>
            </w:pPr>
          </w:p>
        </w:tc>
        <w:tc>
          <w:tcPr>
            <w:tcW w:w="8503" w:type="dxa"/>
            <w:gridSpan w:val="4"/>
            <w:vAlign w:val="center"/>
          </w:tcPr>
          <w:p>
            <w:pPr>
              <w:rPr>
                <w:rFonts w:ascii="宋体" w:hAnsi="宋体" w:cs="宋体"/>
                <w:color w:val="auto"/>
                <w:szCs w:val="21"/>
                <w:highlight w:val="none"/>
              </w:rPr>
            </w:pPr>
            <w:r>
              <w:rPr>
                <w:rFonts w:hint="eastAsia" w:ascii="宋体" w:hAnsi="宋体" w:cs="宋体"/>
                <w:color w:val="auto"/>
                <w:szCs w:val="21"/>
                <w:highlight w:val="none"/>
              </w:rPr>
              <w:t>投标报价价格分=（评标基准价/投标报价）×权重</w:t>
            </w:r>
          </w:p>
          <w:p>
            <w:pPr>
              <w:jc w:val="left"/>
              <w:rPr>
                <w:rFonts w:ascii="宋体" w:hAnsi="宋体" w:cs="宋体"/>
                <w:color w:val="auto"/>
                <w:szCs w:val="21"/>
                <w:highlight w:val="none"/>
              </w:rPr>
            </w:pPr>
            <w:r>
              <w:rPr>
                <w:rFonts w:hint="eastAsia" w:ascii="宋体" w:hAnsi="宋体" w:cs="宋体"/>
                <w:color w:val="auto"/>
                <w:szCs w:val="21"/>
                <w:highlight w:val="none"/>
              </w:rPr>
              <w:t>评标基准价为满足招标文件要求且投标价格最低的投标报价。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3090" w:type="dxa"/>
            <w:gridSpan w:val="3"/>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技术部分</w:t>
            </w:r>
          </w:p>
        </w:tc>
        <w:tc>
          <w:tcPr>
            <w:tcW w:w="541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pPr>
              <w:jc w:val="center"/>
              <w:rPr>
                <w:rFonts w:ascii="宋体" w:hAnsi="宋体" w:cs="宋体"/>
                <w:color w:val="auto"/>
                <w:szCs w:val="21"/>
                <w:highlight w:val="none"/>
              </w:rPr>
            </w:pPr>
          </w:p>
        </w:tc>
        <w:tc>
          <w:tcPr>
            <w:tcW w:w="749"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6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679"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541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0"/>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实施方案</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5413" w:type="dxa"/>
          </w:tcPr>
          <w:p>
            <w:pPr>
              <w:adjustRightInd w:val="0"/>
              <w:rPr>
                <w:rFonts w:ascii="宋体" w:hAnsi="宋体" w:cs="宋体"/>
                <w:b/>
                <w:color w:val="auto"/>
                <w:szCs w:val="21"/>
                <w:highlight w:val="none"/>
              </w:rPr>
            </w:pPr>
            <w:r>
              <w:rPr>
                <w:rFonts w:hint="eastAsia" w:ascii="宋体" w:hAnsi="宋体" w:cs="宋体"/>
                <w:b/>
                <w:color w:val="auto"/>
                <w:szCs w:val="21"/>
                <w:highlight w:val="none"/>
              </w:rPr>
              <w:t>（一）评审内容：</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投标人须针对本项目需求提供实施方案，包括下述内容：</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1.工作措施；</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2.工作方案；</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3.工作手段；</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4.工作流程。</w:t>
            </w:r>
          </w:p>
          <w:p>
            <w:pPr>
              <w:rPr>
                <w:rFonts w:ascii="宋体" w:hAnsi="宋体" w:cs="宋体"/>
                <w:b/>
                <w:color w:val="auto"/>
                <w:szCs w:val="21"/>
                <w:highlight w:val="none"/>
              </w:rPr>
            </w:pPr>
            <w:r>
              <w:rPr>
                <w:rFonts w:hint="eastAsia" w:ascii="宋体" w:hAnsi="宋体" w:cs="宋体"/>
                <w:b/>
                <w:color w:val="auto"/>
                <w:szCs w:val="21"/>
                <w:highlight w:val="none"/>
              </w:rPr>
              <w:t>（二）评分依据：</w:t>
            </w:r>
          </w:p>
          <w:p>
            <w:pPr>
              <w:rPr>
                <w:rFonts w:ascii="宋体" w:hAnsi="宋体" w:cs="宋体"/>
                <w:color w:val="auto"/>
                <w:szCs w:val="21"/>
                <w:highlight w:val="none"/>
              </w:rPr>
            </w:pPr>
            <w:r>
              <w:rPr>
                <w:rFonts w:hint="eastAsia" w:ascii="宋体" w:hAnsi="宋体" w:cs="宋体"/>
                <w:color w:val="auto"/>
                <w:kern w:val="0"/>
                <w:szCs w:val="21"/>
                <w:highlight w:val="none"/>
              </w:rPr>
              <w:t>满足以上四点要求得7分，满足任意三点要求得5分，满足任意两点要求得4分，满足任意一点要求得1分，未满足不得分。在此基础上，专家根据各供应商的具体响应内容按照量化的评审因素指标进一步评审，评审为优（有具体的时间节点和步骤；有具体的人员安排及明确的分工；对突发情况有具体的应对措施；内容具有可操作性）的加6分，评审为良（有基本的时间节点和步骤；有基本的人员安排及明确的分工；对突发情况有基本的应对措施；内容具有基本的可操作性）的加3分，评审为中（有一般的时间节点和步骤；有一般的人员安排及明确的分工；对突发情况有一般的应对措施；内容具有一般的可操作性）的加1分，评审为差（未体现有具体的时间节点和步骤；有具体的人员安排及明确的分工；对突发情况有具体的应对措施；内容具有可操作性）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2"/>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项目重点难点分析、应对措施及相关的合理化建议</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5413" w:type="dxa"/>
          </w:tcPr>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（一）评审内容：</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投标人须针对本项目需求提供对项目重点难点分析、应对措施及相关的合理化建议，具体包括：</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1.项目重点难点分析不少于两点；</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2.具有针对性及较强可操作性的解决方案；</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3.应对措施及相关合理化建议。</w:t>
            </w:r>
          </w:p>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（二）评分依据：</w:t>
            </w:r>
          </w:p>
          <w:p>
            <w:pPr>
              <w:rPr>
                <w:rFonts w:ascii="宋体" w:hAnsi="宋体" w:cs="宋体"/>
                <w:color w:val="auto"/>
                <w:szCs w:val="21"/>
                <w:highlight w:val="none"/>
              </w:rPr>
            </w:pPr>
            <w:r>
              <w:rPr>
                <w:rFonts w:hint="eastAsia" w:ascii="宋体" w:hAnsi="宋体" w:cs="宋体"/>
                <w:color w:val="auto"/>
                <w:szCs w:val="21"/>
                <w:highlight w:val="none"/>
              </w:rPr>
              <w:t>满足以上三点要求得6分，满足任意两点要求得4分，满足任意一点要求得2分，未满足不得分。在此基础上，专家根据各供应商的具体响应内容按照量化的评审因素指标进一步评审，评审为优（投标文件对项目的重难点分析透彻，应对措施以及相关建议合理可行，针对性和可操作性强）的加6分，评审为良（投标文件对项目的重难点分析较透彻，应对措施以及相关建议较合理，针对性和可操作性较强）的加4，评审为中（投标文件对项目的重难点分析水平一般，应对措施以及相关建议的针对性和可操作性一般）的加2分，评审为差（投标文件对项目的重难点分析，缺乏系统的分析水平，未能提出有针对性和可行性的应对措施及合理化建议）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2" w:type="dxa"/>
            <w:vMerge w:val="continue"/>
            <w:vAlign w:val="center"/>
          </w:tcPr>
          <w:p>
            <w:pPr>
              <w:jc w:val="center"/>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质量（完成时间、安全、环保）保障措施及方案</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5413" w:type="dxa"/>
          </w:tcPr>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（一）评审内容：</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投标人须针对本项目需求提供质量（完成时间、安全、环保）保障措施及方案，具体包括：</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1.项目质量、项目进度计划及保障措施及方案；</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2.安全保障措施及方案；</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3.针对可能发生突发事件，对应的应急响应机制。</w:t>
            </w:r>
          </w:p>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（二）评分依据：</w:t>
            </w:r>
          </w:p>
          <w:p>
            <w:pPr>
              <w:rPr>
                <w:rFonts w:ascii="宋体" w:hAnsi="宋体" w:cs="宋体"/>
                <w:color w:val="auto"/>
                <w:szCs w:val="21"/>
                <w:highlight w:val="none"/>
              </w:rPr>
            </w:pPr>
            <w:r>
              <w:rPr>
                <w:rFonts w:hint="eastAsia" w:ascii="宋体" w:hAnsi="宋体" w:cs="宋体"/>
                <w:color w:val="auto"/>
                <w:szCs w:val="21"/>
                <w:highlight w:val="none"/>
              </w:rPr>
              <w:t>满足以上三点要求得5分，满足任意两点要求得3分，满足任意一点要求得1分，未满足不得分。在此基础上，专家根据各供应商的具体响应内容按照量化的评审因素指标进一步评审，评审为优（项目质量、项目进度计划及保障措施及方案详细、科学合理，包含了进度、安全、资料收集、与采购人紧密联系等内容，能够很好地保障项目质量）的加5分，评审为良（项目质量、项目进度计划及保障措施及方案较详细、较科学合理，包含了质量保障措施的主要内容，能够较好地保障项目质量）的加3分，评审为中（项目质量、项目进度计划及保障措施及方案完整性一般，科学合理性水平一般，基本能够保障项目质量）的加分，评审为差（项目质量、项目进度计划及保障措施及方案不够全面，科学合理性较差，难以有效地保障项目质量）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2"/>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项目完成（服务期满）后的服务承诺</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5413" w:type="dxa"/>
          </w:tcPr>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（一）评审内容：</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投标人须针对本项目出具完成（服务期满）后的服务承诺函，内容应包括：承诺中标后将对照采购人约定的每项要求履行义务，项目验收后，若采购人有问题需要咨询，将提供免费的咨询和修改服务。</w:t>
            </w:r>
          </w:p>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（二）评分依据：</w:t>
            </w:r>
          </w:p>
          <w:p>
            <w:pPr>
              <w:rPr>
                <w:rFonts w:ascii="宋体" w:hAnsi="宋体" w:cs="宋体"/>
                <w:color w:val="auto"/>
                <w:szCs w:val="21"/>
                <w:highlight w:val="none"/>
              </w:rPr>
            </w:pPr>
            <w:r>
              <w:rPr>
                <w:rFonts w:hint="eastAsia" w:ascii="宋体" w:hAnsi="宋体" w:cs="宋体"/>
                <w:color w:val="auto"/>
                <w:szCs w:val="21"/>
                <w:highlight w:val="none"/>
              </w:rPr>
              <w:t>投标文件中出具完成（服务期满）后的服务承诺函得4分；未按要求提供或提供信息不全或提供无法判断的不得分。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2"/>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违约承诺</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5413" w:type="dxa"/>
          </w:tcPr>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（一）评审内容：</w:t>
            </w:r>
          </w:p>
          <w:p>
            <w:pPr>
              <w:pStyle w:val="6"/>
              <w:rPr>
                <w:rFonts w:ascii="宋体" w:hAnsi="宋体" w:cs="宋体"/>
                <w:color w:val="auto"/>
                <w:sz w:val="21"/>
                <w:szCs w:val="21"/>
                <w:highlight w:val="none"/>
              </w:rPr>
            </w:pPr>
            <w:r>
              <w:rPr>
                <w:rFonts w:hint="eastAsia" w:ascii="宋体" w:hAnsi="宋体" w:cs="宋体"/>
                <w:color w:val="auto"/>
                <w:sz w:val="21"/>
                <w:szCs w:val="21"/>
                <w:highlight w:val="none"/>
              </w:rPr>
              <w:t>投标人须针对本项目出具违约承诺函（格式自定）</w:t>
            </w:r>
          </w:p>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（二）评分依据：</w:t>
            </w:r>
          </w:p>
          <w:p>
            <w:pPr>
              <w:rPr>
                <w:rFonts w:ascii="宋体" w:hAnsi="宋体" w:cs="宋体"/>
                <w:color w:val="auto"/>
                <w:szCs w:val="21"/>
                <w:highlight w:val="none"/>
              </w:rPr>
            </w:pPr>
            <w:r>
              <w:rPr>
                <w:rFonts w:hint="eastAsia" w:ascii="宋体" w:hAnsi="宋体" w:cs="宋体"/>
                <w:color w:val="auto"/>
                <w:szCs w:val="21"/>
                <w:highlight w:val="none"/>
              </w:rPr>
              <w:t>投标文件中出具违约承诺函得3分；未按要求提供或提供信息不全或提供无法判断的不得分。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3090" w:type="dxa"/>
            <w:gridSpan w:val="3"/>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商务部分</w:t>
            </w:r>
          </w:p>
        </w:tc>
        <w:tc>
          <w:tcPr>
            <w:tcW w:w="541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2" w:type="dxa"/>
            <w:vMerge w:val="restart"/>
            <w:vAlign w:val="center"/>
          </w:tcPr>
          <w:p>
            <w:pPr>
              <w:jc w:val="center"/>
              <w:outlineLvl w:val="0"/>
              <w:rPr>
                <w:rFonts w:ascii="宋体" w:hAnsi="宋体" w:cs="宋体"/>
                <w:color w:val="auto"/>
                <w:szCs w:val="21"/>
                <w:highlight w:val="none"/>
              </w:rPr>
            </w:pPr>
          </w:p>
        </w:tc>
        <w:tc>
          <w:tcPr>
            <w:tcW w:w="749"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62"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679"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5413"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0"/>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拟安排的项目负责人情况（仅限一人）</w:t>
            </w:r>
          </w:p>
        </w:tc>
        <w:tc>
          <w:tcPr>
            <w:tcW w:w="679"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413" w:type="dxa"/>
            <w:vAlign w:val="center"/>
          </w:tcPr>
          <w:p>
            <w:pPr>
              <w:rPr>
                <w:rFonts w:ascii="宋体" w:hAnsi="宋体" w:cs="宋体"/>
                <w:bCs/>
                <w:color w:val="auto"/>
                <w:szCs w:val="21"/>
                <w:highlight w:val="none"/>
                <w:lang w:val="zh-CN"/>
              </w:rPr>
            </w:pPr>
            <w:r>
              <w:rPr>
                <w:rFonts w:hint="eastAsia" w:ascii="宋体" w:hAnsi="宋体" w:cs="宋体"/>
                <w:bCs/>
                <w:color w:val="auto"/>
                <w:szCs w:val="21"/>
                <w:highlight w:val="none"/>
                <w:lang w:val="zh-CN"/>
              </w:rPr>
              <w:t>1.</w:t>
            </w:r>
            <w:r>
              <w:rPr>
                <w:rFonts w:hint="eastAsia" w:ascii="宋体" w:hAnsi="宋体" w:cs="宋体"/>
                <w:bCs/>
                <w:color w:val="auto"/>
                <w:szCs w:val="21"/>
                <w:highlight w:val="none"/>
              </w:rPr>
              <w:t>有</w:t>
            </w:r>
            <w:r>
              <w:rPr>
                <w:rFonts w:hint="eastAsia" w:ascii="宋体" w:hAnsi="宋体" w:cs="宋体"/>
                <w:bCs/>
                <w:color w:val="auto"/>
                <w:szCs w:val="21"/>
                <w:highlight w:val="none"/>
                <w:lang w:val="zh-CN"/>
              </w:rPr>
              <w:t>全日制本科或以上学历的，得3分。</w:t>
            </w:r>
            <w:r>
              <w:rPr>
                <w:rFonts w:hint="eastAsia" w:ascii="宋体" w:hAnsi="宋体" w:cs="宋体"/>
                <w:b/>
                <w:bCs/>
                <w:color w:val="auto"/>
                <w:szCs w:val="21"/>
                <w:highlight w:val="none"/>
                <w:lang w:val="zh-CN"/>
              </w:rPr>
              <w:t>【提供学历证书】</w:t>
            </w:r>
          </w:p>
          <w:p>
            <w:pPr>
              <w:rPr>
                <w:rFonts w:ascii="宋体" w:hAnsi="宋体" w:cs="宋体"/>
                <w:bCs/>
                <w:color w:val="auto"/>
                <w:szCs w:val="21"/>
                <w:highlight w:val="none"/>
                <w:lang w:val="zh-CN"/>
              </w:rPr>
            </w:pPr>
            <w:r>
              <w:rPr>
                <w:rFonts w:hint="eastAsia" w:ascii="宋体" w:hAnsi="宋体" w:cs="宋体"/>
                <w:bCs/>
                <w:color w:val="auto"/>
                <w:szCs w:val="21"/>
                <w:highlight w:val="none"/>
                <w:lang w:val="zh-CN"/>
              </w:rPr>
              <w:t>2.有相关专业的培训教学经验，得3分。</w:t>
            </w:r>
            <w:r>
              <w:rPr>
                <w:rFonts w:hint="eastAsia" w:ascii="宋体" w:hAnsi="宋体" w:cs="宋体"/>
                <w:b/>
                <w:bCs/>
                <w:color w:val="auto"/>
                <w:szCs w:val="21"/>
                <w:highlight w:val="none"/>
                <w:lang w:val="zh-CN"/>
              </w:rPr>
              <w:t>【提供有效经验证明】</w:t>
            </w:r>
          </w:p>
          <w:p>
            <w:pPr>
              <w:rPr>
                <w:rFonts w:ascii="宋体" w:hAnsi="宋体" w:cs="宋体"/>
                <w:bCs/>
                <w:color w:val="auto"/>
                <w:szCs w:val="21"/>
                <w:highlight w:val="none"/>
                <w:lang w:val="zh-CN"/>
              </w:rPr>
            </w:pPr>
            <w:r>
              <w:rPr>
                <w:rFonts w:hint="eastAsia" w:ascii="宋体" w:hAnsi="宋体" w:cs="宋体"/>
                <w:bCs/>
                <w:color w:val="auto"/>
                <w:szCs w:val="21"/>
                <w:highlight w:val="none"/>
                <w:lang w:val="zh-CN"/>
              </w:rPr>
              <w:t>3.有</w:t>
            </w:r>
            <w:r>
              <w:rPr>
                <w:rFonts w:hint="eastAsia" w:ascii="宋体" w:hAnsi="宋体" w:cs="宋体"/>
                <w:color w:val="auto"/>
                <w:szCs w:val="21"/>
                <w:highlight w:val="none"/>
              </w:rPr>
              <w:t>烘培类</w:t>
            </w:r>
            <w:r>
              <w:rPr>
                <w:rFonts w:hint="eastAsia" w:ascii="宋体" w:hAnsi="宋体" w:cs="宋体"/>
                <w:bCs/>
                <w:color w:val="auto"/>
                <w:szCs w:val="21"/>
                <w:highlight w:val="none"/>
                <w:lang w:val="zh-CN"/>
              </w:rPr>
              <w:t>组织管理经验，每提供1项得1分，最高得3分。</w:t>
            </w:r>
            <w:r>
              <w:rPr>
                <w:rFonts w:hint="eastAsia" w:ascii="宋体" w:hAnsi="宋体" w:cs="宋体"/>
                <w:b/>
                <w:bCs/>
                <w:color w:val="auto"/>
                <w:szCs w:val="21"/>
                <w:highlight w:val="none"/>
                <w:lang w:val="zh-CN"/>
              </w:rPr>
              <w:t>【提供有效经验证明】</w:t>
            </w:r>
          </w:p>
          <w:p>
            <w:pPr>
              <w:rPr>
                <w:rFonts w:ascii="宋体" w:hAnsi="宋体" w:cs="宋体"/>
                <w:bCs/>
                <w:color w:val="auto"/>
                <w:szCs w:val="21"/>
                <w:highlight w:val="none"/>
                <w:lang w:val="zh-CN"/>
              </w:rPr>
            </w:pPr>
            <w:r>
              <w:rPr>
                <w:rFonts w:hint="eastAsia" w:ascii="宋体" w:hAnsi="宋体" w:cs="宋体"/>
                <w:bCs/>
                <w:color w:val="auto"/>
                <w:szCs w:val="21"/>
                <w:highlight w:val="none"/>
                <w:lang w:val="zh-CN"/>
              </w:rPr>
              <w:t>4.有残疾人活动开展组织经验，每提供1项得1分，最高得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val="zh-CN"/>
              </w:rPr>
              <w:t>分。</w:t>
            </w:r>
            <w:r>
              <w:rPr>
                <w:rFonts w:hint="eastAsia" w:ascii="宋体" w:hAnsi="宋体" w:cs="宋体"/>
                <w:b/>
                <w:bCs/>
                <w:color w:val="auto"/>
                <w:szCs w:val="21"/>
                <w:highlight w:val="none"/>
                <w:lang w:val="zh-CN"/>
              </w:rPr>
              <w:t>【提供有效经验证明】</w:t>
            </w:r>
          </w:p>
          <w:p>
            <w:pPr>
              <w:rPr>
                <w:rFonts w:ascii="宋体" w:hAnsi="宋体" w:cs="宋体"/>
                <w:color w:val="auto"/>
                <w:szCs w:val="21"/>
                <w:highlight w:val="none"/>
              </w:rPr>
            </w:pPr>
            <w:r>
              <w:rPr>
                <w:rFonts w:hint="eastAsia" w:ascii="宋体" w:hAnsi="宋体" w:cs="宋体"/>
                <w:b/>
                <w:bCs/>
                <w:color w:val="auto"/>
                <w:szCs w:val="21"/>
                <w:highlight w:val="none"/>
              </w:rPr>
              <w:t>有效经验证明是指：</w:t>
            </w:r>
            <w:r>
              <w:rPr>
                <w:rFonts w:hint="eastAsia" w:ascii="宋体" w:hAnsi="宋体" w:cs="宋体"/>
                <w:color w:val="auto"/>
                <w:szCs w:val="21"/>
                <w:highlight w:val="none"/>
              </w:rPr>
              <w:t>项目合同关键信息，通过合同关键信息无法判断是否得分的，还须同时提供合同甲方出具的证明文件。</w:t>
            </w:r>
          </w:p>
          <w:p>
            <w:pPr>
              <w:rPr>
                <w:rFonts w:ascii="宋体" w:hAnsi="宋体" w:cs="宋体"/>
                <w:b/>
                <w:bCs/>
                <w:color w:val="auto"/>
                <w:szCs w:val="21"/>
                <w:highlight w:val="none"/>
              </w:rPr>
            </w:pPr>
            <w:r>
              <w:rPr>
                <w:rFonts w:hint="eastAsia" w:ascii="宋体" w:hAnsi="宋体" w:cs="宋体"/>
                <w:b/>
                <w:bCs/>
                <w:color w:val="auto"/>
                <w:szCs w:val="21"/>
                <w:highlight w:val="none"/>
              </w:rPr>
              <w:t>评分依据：</w:t>
            </w:r>
          </w:p>
          <w:p>
            <w:pPr>
              <w:widowControl/>
              <w:rPr>
                <w:rFonts w:ascii="宋体" w:hAnsi="宋体" w:cs="宋体"/>
                <w:color w:val="auto"/>
                <w:szCs w:val="21"/>
                <w:highlight w:val="none"/>
              </w:rPr>
            </w:pPr>
            <w:r>
              <w:rPr>
                <w:rFonts w:hint="eastAsia" w:ascii="宋体" w:hAnsi="宋体" w:cs="宋体"/>
                <w:color w:val="auto"/>
                <w:szCs w:val="21"/>
                <w:highlight w:val="none"/>
              </w:rPr>
              <w:t>1.按上述要求提供有效证明文件和人员劳务合同或由社保部门出具的在投标人处购买的投标截止日前2个月社保证明复印件加盖投标人公章，原件备查，未提供或无法判断不得分。</w:t>
            </w:r>
          </w:p>
          <w:p>
            <w:pPr>
              <w:rPr>
                <w:rFonts w:ascii="宋体" w:hAnsi="宋体" w:cs="宋体"/>
                <w:color w:val="auto"/>
                <w:szCs w:val="21"/>
                <w:highlight w:val="none"/>
              </w:rPr>
            </w:pPr>
            <w:r>
              <w:rPr>
                <w:rFonts w:hint="eastAsia" w:ascii="宋体" w:hAnsi="宋体" w:cs="宋体"/>
                <w:color w:val="auto"/>
                <w:szCs w:val="21"/>
                <w:highlight w:val="none"/>
              </w:rPr>
              <w:t>2.投标人须提供上述人员劳务合同或由社保部门（或税务部门）出具的本项目投标截止前2个月的社保证明及相关证明资料（社保未出月份则往前顺延一到二个月，若入职未满2个月，提供入职至今；如投标人为新成立企业且成立时间不足2个月可提供加盖公章的情况说明或者证明材料亦视为符合）；</w:t>
            </w:r>
          </w:p>
          <w:p>
            <w:pPr>
              <w:rPr>
                <w:rFonts w:ascii="宋体" w:hAnsi="宋体" w:cs="宋体"/>
                <w:color w:val="auto"/>
                <w:szCs w:val="21"/>
                <w:highlight w:val="none"/>
              </w:rPr>
            </w:pPr>
            <w:r>
              <w:rPr>
                <w:rFonts w:hint="eastAsia" w:ascii="宋体" w:hAnsi="宋体" w:cs="宋体"/>
                <w:color w:val="auto"/>
                <w:szCs w:val="21"/>
                <w:highlight w:val="none"/>
              </w:rPr>
              <w:t>3.提供的相关证书及荣誉颁发机构须是合法设立的机构，且具有颁发相应证书的资质。《中华人民共和国境外非政府组织境内活动管理法》规定的“离岸社团”“山寨社团”，《取缔非法民间组织暂行办法》（民政部令第 21 号）规定的“非法社会组织”颁发的证书不认可为得分因素。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2"/>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拟安排的项目团队成员（项目负责人除外）</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5413" w:type="dxa"/>
            <w:vAlign w:val="center"/>
          </w:tcPr>
          <w:p>
            <w:pPr>
              <w:rPr>
                <w:rFonts w:ascii="宋体" w:hAnsi="宋体" w:cs="宋体"/>
                <w:bCs/>
                <w:color w:val="auto"/>
                <w:szCs w:val="21"/>
                <w:highlight w:val="none"/>
                <w:lang w:val="zh-CN"/>
              </w:rPr>
            </w:pPr>
            <w:r>
              <w:rPr>
                <w:rFonts w:hint="eastAsia" w:ascii="宋体" w:hAnsi="宋体" w:cs="宋体"/>
                <w:bCs/>
                <w:color w:val="auto"/>
                <w:szCs w:val="21"/>
                <w:highlight w:val="none"/>
                <w:lang w:val="zh-CN"/>
              </w:rPr>
              <w:t>参与本项目团队成员人数不少于6人，否则不得分；要求团队成员项目组织经验丰富，授课讲师资质过硬，具备丰富的</w:t>
            </w:r>
            <w:r>
              <w:rPr>
                <w:rFonts w:hint="eastAsia" w:ascii="宋体" w:hAnsi="宋体" w:cs="宋体"/>
                <w:color w:val="auto"/>
                <w:szCs w:val="21"/>
                <w:highlight w:val="none"/>
              </w:rPr>
              <w:t>烘培技能培训</w:t>
            </w:r>
            <w:r>
              <w:rPr>
                <w:rFonts w:hint="eastAsia" w:ascii="宋体" w:hAnsi="宋体" w:cs="宋体"/>
                <w:bCs/>
                <w:color w:val="auto"/>
                <w:szCs w:val="21"/>
                <w:highlight w:val="none"/>
                <w:lang w:val="zh-CN"/>
              </w:rPr>
              <w:t>实施经验：</w:t>
            </w:r>
          </w:p>
          <w:p>
            <w:pPr>
              <w:jc w:val="left"/>
              <w:rPr>
                <w:rFonts w:ascii="宋体" w:hAnsi="宋体" w:cs="宋体"/>
                <w:color w:val="auto"/>
                <w:szCs w:val="21"/>
                <w:highlight w:val="none"/>
                <w:lang w:val="zh-CN"/>
              </w:rPr>
            </w:pPr>
            <w:r>
              <w:rPr>
                <w:rFonts w:hint="eastAsia" w:ascii="宋体" w:hAnsi="宋体" w:cs="宋体"/>
                <w:bCs/>
                <w:color w:val="auto"/>
                <w:szCs w:val="21"/>
                <w:highlight w:val="none"/>
                <w:lang w:val="zh-CN"/>
              </w:rPr>
              <w:t>1.团队成员有</w:t>
            </w:r>
            <w:r>
              <w:rPr>
                <w:rFonts w:hint="eastAsia" w:ascii="宋体" w:hAnsi="宋体" w:cs="宋体"/>
                <w:color w:val="auto"/>
                <w:szCs w:val="21"/>
                <w:highlight w:val="none"/>
                <w:lang w:val="zh-CN"/>
              </w:rPr>
              <w:t>食品科学与工程、食品质量与安全、烹饪工艺与营养、</w:t>
            </w:r>
            <w:r>
              <w:rPr>
                <w:rFonts w:hint="eastAsia" w:ascii="宋体" w:hAnsi="宋体" w:cs="宋体"/>
                <w:color w:val="auto"/>
                <w:szCs w:val="21"/>
                <w:highlight w:val="none"/>
              </w:rPr>
              <w:t>市场营销、经济管理等相关</w:t>
            </w:r>
            <w:r>
              <w:rPr>
                <w:rFonts w:hint="eastAsia" w:ascii="宋体" w:hAnsi="宋体" w:cs="宋体"/>
                <w:bCs/>
                <w:color w:val="auto"/>
                <w:szCs w:val="21"/>
                <w:highlight w:val="none"/>
              </w:rPr>
              <w:t>专业</w:t>
            </w:r>
            <w:r>
              <w:rPr>
                <w:rFonts w:hint="eastAsia" w:ascii="宋体" w:hAnsi="宋体" w:cs="宋体"/>
                <w:color w:val="auto"/>
                <w:szCs w:val="21"/>
                <w:highlight w:val="none"/>
              </w:rPr>
              <w:t>的全日制本科或以上学历的</w:t>
            </w:r>
            <w:r>
              <w:rPr>
                <w:rFonts w:hint="eastAsia" w:ascii="宋体" w:hAnsi="宋体" w:cs="宋体"/>
                <w:bCs/>
                <w:color w:val="auto"/>
                <w:szCs w:val="21"/>
                <w:highlight w:val="none"/>
                <w:lang w:val="zh-CN"/>
              </w:rPr>
              <w:t>，得1分，最高</w:t>
            </w:r>
            <w:r>
              <w:rPr>
                <w:rFonts w:hint="eastAsia" w:ascii="宋体" w:hAnsi="宋体" w:cs="宋体"/>
                <w:bCs/>
                <w:color w:val="auto"/>
                <w:szCs w:val="21"/>
                <w:highlight w:val="none"/>
              </w:rPr>
              <w:t>得</w:t>
            </w:r>
            <w:r>
              <w:rPr>
                <w:rFonts w:hint="eastAsia" w:ascii="宋体" w:hAnsi="宋体" w:cs="宋体"/>
                <w:bCs/>
                <w:color w:val="auto"/>
                <w:szCs w:val="21"/>
                <w:highlight w:val="none"/>
                <w:lang w:val="zh-CN"/>
              </w:rPr>
              <w:t>6分；</w:t>
            </w:r>
            <w:r>
              <w:rPr>
                <w:rFonts w:hint="eastAsia" w:ascii="宋体" w:hAnsi="宋体" w:cs="宋体"/>
                <w:b/>
                <w:bCs/>
                <w:color w:val="auto"/>
                <w:szCs w:val="21"/>
                <w:highlight w:val="none"/>
                <w:lang w:val="zh-CN"/>
              </w:rPr>
              <w:t>【提供学历证书】</w:t>
            </w:r>
          </w:p>
          <w:p>
            <w:pPr>
              <w:rPr>
                <w:rFonts w:ascii="宋体" w:hAnsi="宋体" w:cs="宋体"/>
                <w:color w:val="auto"/>
                <w:szCs w:val="21"/>
                <w:highlight w:val="none"/>
              </w:rPr>
            </w:pPr>
            <w:r>
              <w:rPr>
                <w:rFonts w:hint="eastAsia" w:ascii="宋体" w:hAnsi="宋体" w:cs="宋体"/>
                <w:bCs/>
                <w:color w:val="auto"/>
                <w:szCs w:val="21"/>
                <w:highlight w:val="none"/>
              </w:rPr>
              <w:t>2.团队成员</w:t>
            </w:r>
            <w:r>
              <w:rPr>
                <w:rFonts w:hint="eastAsia" w:ascii="宋体" w:hAnsi="宋体" w:cs="宋体"/>
                <w:color w:val="auto"/>
                <w:szCs w:val="21"/>
                <w:highlight w:val="none"/>
              </w:rPr>
              <w:t>从事1年及以上烘培类相关工作，拥有丰富的烘培技能实战经验。</w:t>
            </w:r>
            <w:r>
              <w:rPr>
                <w:rFonts w:hint="eastAsia" w:ascii="宋体" w:hAnsi="宋体" w:cs="宋体"/>
                <w:bCs/>
                <w:color w:val="auto"/>
                <w:szCs w:val="21"/>
                <w:highlight w:val="none"/>
                <w:lang w:val="zh-CN"/>
              </w:rPr>
              <w:t>每提供1个得1分，最高</w:t>
            </w:r>
            <w:r>
              <w:rPr>
                <w:rFonts w:hint="eastAsia" w:ascii="宋体" w:hAnsi="宋体" w:cs="宋体"/>
                <w:bCs/>
                <w:color w:val="auto"/>
                <w:szCs w:val="21"/>
                <w:highlight w:val="none"/>
              </w:rPr>
              <w:t>得</w:t>
            </w:r>
            <w:r>
              <w:rPr>
                <w:rFonts w:hint="eastAsia" w:ascii="宋体" w:hAnsi="宋体" w:cs="宋体"/>
                <w:bCs/>
                <w:color w:val="auto"/>
                <w:szCs w:val="21"/>
                <w:highlight w:val="none"/>
                <w:lang w:val="zh-CN"/>
              </w:rPr>
              <w:t>6分；</w:t>
            </w:r>
            <w:r>
              <w:rPr>
                <w:rFonts w:hint="eastAsia" w:ascii="宋体" w:hAnsi="宋体" w:cs="宋体"/>
                <w:b/>
                <w:bCs/>
                <w:color w:val="auto"/>
                <w:szCs w:val="21"/>
                <w:highlight w:val="none"/>
                <w:lang w:val="zh-CN"/>
              </w:rPr>
              <w:t>【提供有效经验证明】</w:t>
            </w:r>
          </w:p>
          <w:p>
            <w:pPr>
              <w:rPr>
                <w:rFonts w:ascii="宋体" w:hAnsi="宋体" w:cs="宋体"/>
                <w:bCs/>
                <w:color w:val="auto"/>
                <w:szCs w:val="21"/>
                <w:highlight w:val="none"/>
                <w:lang w:val="zh-CN"/>
              </w:rPr>
            </w:pPr>
            <w:r>
              <w:rPr>
                <w:rFonts w:hint="eastAsia" w:ascii="宋体" w:hAnsi="宋体" w:cs="宋体"/>
                <w:bCs/>
                <w:color w:val="auto"/>
                <w:szCs w:val="21"/>
                <w:highlight w:val="none"/>
                <w:lang w:val="zh-CN"/>
              </w:rPr>
              <w:t>3.团队成员具备相关专业的授课能力，培训授课经验丰富。每提供1项得1分，最高</w:t>
            </w:r>
            <w:r>
              <w:rPr>
                <w:rFonts w:hint="eastAsia" w:ascii="宋体" w:hAnsi="宋体" w:cs="宋体"/>
                <w:bCs/>
                <w:color w:val="auto"/>
                <w:szCs w:val="21"/>
                <w:highlight w:val="none"/>
              </w:rPr>
              <w:t>得</w:t>
            </w:r>
            <w:r>
              <w:rPr>
                <w:rFonts w:hint="eastAsia" w:ascii="宋体" w:hAnsi="宋体" w:cs="宋体"/>
                <w:bCs/>
                <w:color w:val="auto"/>
                <w:szCs w:val="21"/>
                <w:highlight w:val="none"/>
                <w:lang w:val="zh-CN"/>
              </w:rPr>
              <w:t>3分；</w:t>
            </w:r>
            <w:r>
              <w:rPr>
                <w:rFonts w:hint="eastAsia" w:ascii="宋体" w:hAnsi="宋体" w:cs="宋体"/>
                <w:b/>
                <w:bCs/>
                <w:color w:val="auto"/>
                <w:szCs w:val="21"/>
                <w:highlight w:val="none"/>
                <w:lang w:val="zh-CN"/>
              </w:rPr>
              <w:t>【提供有效经验证明】</w:t>
            </w:r>
          </w:p>
          <w:p>
            <w:pPr>
              <w:rPr>
                <w:rFonts w:ascii="宋体" w:hAnsi="宋体" w:cs="宋体"/>
                <w:color w:val="auto"/>
                <w:szCs w:val="21"/>
                <w:highlight w:val="none"/>
              </w:rPr>
            </w:pPr>
            <w:r>
              <w:rPr>
                <w:rFonts w:hint="eastAsia" w:ascii="宋体" w:hAnsi="宋体" w:cs="宋体"/>
                <w:b/>
                <w:bCs/>
                <w:color w:val="auto"/>
                <w:szCs w:val="21"/>
                <w:highlight w:val="none"/>
              </w:rPr>
              <w:t>有效经验证明是指：</w:t>
            </w:r>
            <w:r>
              <w:rPr>
                <w:rFonts w:hint="eastAsia" w:ascii="宋体" w:hAnsi="宋体" w:cs="宋体"/>
                <w:color w:val="auto"/>
                <w:szCs w:val="21"/>
                <w:highlight w:val="none"/>
              </w:rPr>
              <w:t>项目合同关键信息，通过合同关键信息无法判断是否得分的，还须同时提供合同甲方出具的证明文件。</w:t>
            </w:r>
          </w:p>
          <w:p>
            <w:pPr>
              <w:rPr>
                <w:rFonts w:ascii="宋体" w:hAnsi="宋体" w:cs="宋体"/>
                <w:bCs/>
                <w:color w:val="auto"/>
                <w:szCs w:val="21"/>
                <w:highlight w:val="none"/>
                <w:lang w:val="zh-CN"/>
              </w:rPr>
            </w:pPr>
            <w:r>
              <w:rPr>
                <w:rFonts w:hint="eastAsia" w:ascii="宋体" w:hAnsi="宋体" w:cs="宋体"/>
                <w:bCs/>
                <w:color w:val="auto"/>
                <w:szCs w:val="21"/>
                <w:highlight w:val="none"/>
                <w:lang w:val="zh-CN"/>
              </w:rPr>
              <w:t>4.团队成员获得过</w:t>
            </w:r>
            <w:r>
              <w:rPr>
                <w:rFonts w:hint="eastAsia" w:ascii="宋体" w:hAnsi="宋体" w:cs="宋体"/>
                <w:color w:val="auto"/>
                <w:szCs w:val="21"/>
                <w:highlight w:val="none"/>
              </w:rPr>
              <w:t>烘培类行业相关荣誉，具备较强的社会媒体影响力，相关获奖证明</w:t>
            </w:r>
            <w:r>
              <w:rPr>
                <w:rFonts w:hint="eastAsia" w:ascii="宋体" w:hAnsi="宋体" w:cs="宋体"/>
                <w:bCs/>
                <w:color w:val="auto"/>
                <w:szCs w:val="21"/>
                <w:highlight w:val="none"/>
                <w:lang w:val="zh-CN"/>
              </w:rPr>
              <w:t>，每提供1个得1分，最高</w:t>
            </w:r>
            <w:r>
              <w:rPr>
                <w:rFonts w:hint="eastAsia" w:ascii="宋体" w:hAnsi="宋体" w:cs="宋体"/>
                <w:bCs/>
                <w:color w:val="auto"/>
                <w:szCs w:val="21"/>
                <w:highlight w:val="none"/>
              </w:rPr>
              <w:t>得</w:t>
            </w:r>
            <w:r>
              <w:rPr>
                <w:rFonts w:hint="eastAsia" w:ascii="宋体" w:hAnsi="宋体" w:cs="宋体"/>
                <w:bCs/>
                <w:color w:val="auto"/>
                <w:szCs w:val="21"/>
                <w:highlight w:val="none"/>
                <w:lang w:val="zh-CN"/>
              </w:rPr>
              <w:t>3分。</w:t>
            </w:r>
            <w:r>
              <w:rPr>
                <w:rFonts w:hint="eastAsia" w:ascii="宋体" w:hAnsi="宋体" w:cs="宋体"/>
                <w:b/>
                <w:bCs/>
                <w:color w:val="auto"/>
                <w:szCs w:val="21"/>
                <w:highlight w:val="none"/>
                <w:lang w:val="zh-CN"/>
              </w:rPr>
              <w:t>【提供获奖证明】</w:t>
            </w:r>
          </w:p>
          <w:p>
            <w:pPr>
              <w:rPr>
                <w:rFonts w:ascii="宋体" w:hAnsi="宋体" w:cs="宋体"/>
                <w:b/>
                <w:bCs/>
                <w:color w:val="auto"/>
                <w:szCs w:val="21"/>
                <w:highlight w:val="none"/>
              </w:rPr>
            </w:pPr>
            <w:r>
              <w:rPr>
                <w:rFonts w:hint="eastAsia" w:ascii="宋体" w:hAnsi="宋体" w:cs="宋体"/>
                <w:b/>
                <w:bCs/>
                <w:color w:val="auto"/>
                <w:szCs w:val="21"/>
                <w:highlight w:val="none"/>
              </w:rPr>
              <w:t>评分依据：</w:t>
            </w:r>
          </w:p>
          <w:p>
            <w:pPr>
              <w:widowControl/>
              <w:rPr>
                <w:rFonts w:ascii="宋体" w:hAnsi="宋体" w:cs="宋体"/>
                <w:color w:val="auto"/>
                <w:szCs w:val="21"/>
                <w:highlight w:val="none"/>
              </w:rPr>
            </w:pPr>
            <w:r>
              <w:rPr>
                <w:rFonts w:hint="eastAsia" w:ascii="宋体" w:hAnsi="宋体" w:cs="宋体"/>
                <w:color w:val="auto"/>
                <w:szCs w:val="21"/>
                <w:highlight w:val="none"/>
              </w:rPr>
              <w:t>1.按上述要求提供有效证明文件和人员劳务合同或由社保部门出具的在投标人处购买的投标截止日前2个月社保证明复印件加盖投标人公章，原件备查，未提供或无法判断不得分。</w:t>
            </w:r>
          </w:p>
          <w:p>
            <w:pPr>
              <w:rPr>
                <w:rFonts w:ascii="宋体" w:hAnsi="宋体" w:cs="宋体"/>
                <w:color w:val="auto"/>
                <w:szCs w:val="21"/>
                <w:highlight w:val="none"/>
              </w:rPr>
            </w:pPr>
            <w:r>
              <w:rPr>
                <w:rFonts w:hint="eastAsia" w:ascii="宋体" w:hAnsi="宋体" w:cs="宋体"/>
                <w:color w:val="auto"/>
                <w:szCs w:val="21"/>
                <w:highlight w:val="none"/>
              </w:rPr>
              <w:t>2.投标人须提供上述人员劳务合同或由社保部门（或税务部门）出具的本项目投标截止前2个月的社保证明及相关证明资料（社保未出月份则往前顺延一到二个月，若入职未满2个月，提供入职至今；如投标人为新成立企业且成立时间不足2个月可提供加盖公章的情况说明或者证明材料亦视为符合）；</w:t>
            </w:r>
          </w:p>
          <w:p>
            <w:pPr>
              <w:rPr>
                <w:rFonts w:ascii="宋体" w:hAnsi="宋体" w:cs="宋体"/>
                <w:color w:val="auto"/>
                <w:szCs w:val="21"/>
                <w:highlight w:val="none"/>
              </w:rPr>
            </w:pPr>
            <w:r>
              <w:rPr>
                <w:rFonts w:hint="eastAsia" w:ascii="宋体" w:hAnsi="宋体" w:cs="宋体"/>
                <w:color w:val="auto"/>
                <w:szCs w:val="21"/>
                <w:highlight w:val="none"/>
              </w:rPr>
              <w:t>3. 同一人员满足多项得分要求的，不重复计分，只计最高得分项；</w:t>
            </w:r>
          </w:p>
          <w:p>
            <w:pPr>
              <w:rPr>
                <w:rFonts w:ascii="宋体" w:hAnsi="宋体" w:cs="宋体"/>
                <w:color w:val="auto"/>
                <w:szCs w:val="21"/>
                <w:highlight w:val="none"/>
              </w:rPr>
            </w:pPr>
            <w:r>
              <w:rPr>
                <w:rFonts w:hint="eastAsia" w:ascii="宋体" w:hAnsi="宋体" w:cs="宋体"/>
                <w:color w:val="auto"/>
                <w:szCs w:val="21"/>
                <w:highlight w:val="none"/>
              </w:rPr>
              <w:t>4.提供的相关证书及荣誉颁发机构须是合法设立的机构，且具有颁发相应证书的资质。《中华人民共和国境外非政府组织境内活动管理法》规定的“离岸社团”“山寨社团”，《取缔非法民间组织暂行办法》（民政部令第 21 号）规定的“非法社会组织”颁发的证书不认可为得分因素。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2"/>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662"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lang w:val="zh-CN"/>
              </w:rPr>
              <w:t>投标人同类项目</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5413" w:type="dxa"/>
            <w:vAlign w:val="center"/>
          </w:tcPr>
          <w:p>
            <w:pPr>
              <w:rPr>
                <w:rFonts w:ascii="宋体" w:hAnsi="宋体" w:cs="宋体"/>
                <w:bCs/>
                <w:color w:val="auto"/>
                <w:szCs w:val="21"/>
                <w:highlight w:val="none"/>
                <w:lang w:val="zh-CN"/>
              </w:rPr>
            </w:pPr>
            <w:r>
              <w:rPr>
                <w:rFonts w:hint="eastAsia" w:ascii="宋体" w:hAnsi="宋体" w:cs="宋体"/>
                <w:bCs/>
                <w:color w:val="auto"/>
                <w:szCs w:val="21"/>
                <w:highlight w:val="none"/>
                <w:lang w:val="zh-CN"/>
              </w:rPr>
              <w:t>2020年1月1日</w:t>
            </w:r>
            <w:r>
              <w:rPr>
                <w:rFonts w:hint="eastAsia" w:ascii="宋体" w:hAnsi="宋体" w:cs="宋体"/>
                <w:color w:val="auto"/>
                <w:szCs w:val="21"/>
                <w:highlight w:val="none"/>
              </w:rPr>
              <w:t>至本项目开标之日止（以合同签订日期为准）</w:t>
            </w:r>
            <w:r>
              <w:rPr>
                <w:rFonts w:hint="eastAsia" w:ascii="宋体" w:hAnsi="宋体" w:cs="宋体"/>
                <w:bCs/>
                <w:color w:val="auto"/>
                <w:szCs w:val="21"/>
                <w:highlight w:val="none"/>
                <w:lang w:val="zh-CN"/>
              </w:rPr>
              <w:t>承接过</w:t>
            </w:r>
            <w:r>
              <w:rPr>
                <w:rFonts w:hint="eastAsia" w:ascii="宋体" w:hAnsi="宋体" w:cs="宋体"/>
                <w:color w:val="auto"/>
                <w:szCs w:val="21"/>
                <w:highlight w:val="none"/>
              </w:rPr>
              <w:t>烘培技能培训项目</w:t>
            </w:r>
            <w:r>
              <w:rPr>
                <w:rFonts w:hint="eastAsia" w:ascii="宋体" w:hAnsi="宋体" w:cs="宋体"/>
                <w:bCs/>
                <w:color w:val="auto"/>
                <w:szCs w:val="21"/>
                <w:highlight w:val="none"/>
                <w:lang w:val="zh-CN"/>
              </w:rPr>
              <w:t>的，每提供1个得</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分，最高不超过</w:t>
            </w:r>
            <w:r>
              <w:rPr>
                <w:rFonts w:hint="eastAsia" w:ascii="宋体" w:hAnsi="宋体" w:cs="宋体"/>
                <w:bCs/>
                <w:color w:val="auto"/>
                <w:szCs w:val="21"/>
                <w:highlight w:val="none"/>
              </w:rPr>
              <w:t>10</w:t>
            </w:r>
            <w:r>
              <w:rPr>
                <w:rFonts w:hint="eastAsia" w:ascii="宋体" w:hAnsi="宋体" w:cs="宋体"/>
                <w:bCs/>
                <w:color w:val="auto"/>
                <w:szCs w:val="21"/>
                <w:highlight w:val="none"/>
                <w:lang w:val="zh-CN"/>
              </w:rPr>
              <w:t>分。</w:t>
            </w:r>
          </w:p>
          <w:p>
            <w:pPr>
              <w:rPr>
                <w:rFonts w:ascii="宋体" w:hAnsi="宋体" w:cs="宋体"/>
                <w:color w:val="auto"/>
                <w:szCs w:val="21"/>
                <w:highlight w:val="none"/>
              </w:rPr>
            </w:pPr>
            <w:r>
              <w:rPr>
                <w:rFonts w:hint="eastAsia" w:ascii="宋体" w:hAnsi="宋体" w:cs="宋体"/>
                <w:b/>
                <w:bCs/>
                <w:color w:val="auto"/>
                <w:szCs w:val="21"/>
                <w:highlight w:val="none"/>
                <w:lang w:val="zh-CN"/>
              </w:rPr>
              <w:t>评分依据：</w:t>
            </w:r>
            <w:r>
              <w:rPr>
                <w:rFonts w:hint="eastAsia" w:ascii="宋体" w:hAnsi="宋体" w:cs="宋体"/>
                <w:b/>
                <w:bCs/>
                <w:color w:val="auto"/>
                <w:szCs w:val="21"/>
                <w:highlight w:val="none"/>
              </w:rPr>
              <w:t>提供有效合同关键页复印件加盖投标人法人公章，</w:t>
            </w:r>
            <w:r>
              <w:rPr>
                <w:rFonts w:hint="eastAsia" w:ascii="宋体" w:hAnsi="宋体" w:cs="宋体"/>
                <w:b/>
                <w:color w:val="auto"/>
                <w:szCs w:val="21"/>
                <w:highlight w:val="none"/>
              </w:rPr>
              <w:t>原件备查，未提供或无法判断不得分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2"/>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服务响应时间</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5413" w:type="dxa"/>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（1）投标人接到采购人通知1小时（含）内提供服务，得3分；</w:t>
            </w:r>
          </w:p>
          <w:p>
            <w:pPr>
              <w:adjustRightInd w:val="0"/>
              <w:rPr>
                <w:rFonts w:ascii="宋体" w:hAnsi="宋体" w:cs="宋体"/>
                <w:color w:val="auto"/>
                <w:szCs w:val="21"/>
                <w:highlight w:val="none"/>
              </w:rPr>
            </w:pPr>
            <w:r>
              <w:rPr>
                <w:rFonts w:hint="eastAsia" w:ascii="宋体" w:hAnsi="宋体" w:cs="宋体"/>
                <w:color w:val="auto"/>
                <w:szCs w:val="21"/>
                <w:highlight w:val="none"/>
              </w:rPr>
              <w:t>（2）投标人接到采购人通知6小时（含）内提供服务，得2分；</w:t>
            </w:r>
          </w:p>
          <w:p>
            <w:pPr>
              <w:adjustRightInd w:val="0"/>
              <w:rPr>
                <w:rFonts w:ascii="宋体" w:hAnsi="宋体" w:cs="宋体"/>
                <w:color w:val="auto"/>
                <w:szCs w:val="21"/>
                <w:highlight w:val="none"/>
              </w:rPr>
            </w:pPr>
            <w:r>
              <w:rPr>
                <w:rFonts w:hint="eastAsia" w:ascii="宋体" w:hAnsi="宋体" w:cs="宋体"/>
                <w:color w:val="auto"/>
                <w:szCs w:val="21"/>
                <w:highlight w:val="none"/>
              </w:rPr>
              <w:t>（3）投标人接到采购人通知12小时（含）内提供服务，得1分。</w:t>
            </w:r>
          </w:p>
          <w:p>
            <w:pPr>
              <w:adjustRightInd w:val="0"/>
              <w:rPr>
                <w:rFonts w:ascii="宋体" w:hAnsi="宋体" w:cs="宋体"/>
                <w:color w:val="auto"/>
                <w:szCs w:val="21"/>
                <w:highlight w:val="none"/>
              </w:rPr>
            </w:pPr>
            <w:r>
              <w:rPr>
                <w:rFonts w:hint="eastAsia" w:ascii="宋体" w:hAnsi="宋体" w:cs="宋体"/>
                <w:color w:val="auto"/>
                <w:szCs w:val="21"/>
                <w:highlight w:val="none"/>
              </w:rPr>
              <w:t>（4）其他情况，不得分。</w:t>
            </w:r>
          </w:p>
          <w:p>
            <w:pPr>
              <w:rPr>
                <w:rFonts w:ascii="宋体" w:hAnsi="宋体" w:cs="宋体"/>
                <w:color w:val="auto"/>
                <w:szCs w:val="21"/>
                <w:highlight w:val="none"/>
              </w:rPr>
            </w:pPr>
            <w:r>
              <w:rPr>
                <w:rFonts w:hint="eastAsia" w:ascii="宋体" w:hAnsi="宋体" w:cs="宋体"/>
                <w:b/>
                <w:color w:val="auto"/>
                <w:szCs w:val="21"/>
                <w:highlight w:val="none"/>
              </w:rPr>
              <w:t>注：提供服务响应时间承诺（格式自拟）及到场时间的保障方案作为证明材料，专家应对到场时间的保障方案作的合理性进行判断，若判断为不合理，此项不得分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pPr>
              <w:jc w:val="center"/>
              <w:outlineLvl w:val="2"/>
              <w:rPr>
                <w:rFonts w:ascii="宋体" w:hAnsi="宋体" w:cs="宋体"/>
                <w:color w:val="auto"/>
                <w:szCs w:val="21"/>
                <w:highlight w:val="none"/>
              </w:rPr>
            </w:pPr>
          </w:p>
        </w:tc>
        <w:tc>
          <w:tcPr>
            <w:tcW w:w="74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66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企业诚信</w:t>
            </w:r>
          </w:p>
        </w:tc>
        <w:tc>
          <w:tcPr>
            <w:tcW w:w="67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5413" w:type="dxa"/>
            <w:vAlign w:val="center"/>
          </w:tcPr>
          <w:p>
            <w:pPr>
              <w:rPr>
                <w:rFonts w:ascii="宋体" w:hAnsi="宋体" w:cs="宋体"/>
                <w:color w:val="auto"/>
                <w:szCs w:val="21"/>
                <w:highlight w:val="none"/>
              </w:rPr>
            </w:pPr>
            <w:r>
              <w:rPr>
                <w:rFonts w:hint="eastAsia" w:ascii="宋体" w:hAnsi="宋体" w:cs="宋体"/>
                <w:color w:val="auto"/>
                <w:szCs w:val="21"/>
                <w:highlight w:val="none"/>
              </w:rPr>
              <w:t>投标人存在《诚信承诺函》所列情形但超出法定追诉时效，或情节轻微未给予禁止参与政府采购的行政处罚的，本项得0分，不存在上述情形的，本项得满分。</w:t>
            </w:r>
          </w:p>
          <w:p>
            <w:pPr>
              <w:rPr>
                <w:rFonts w:ascii="宋体" w:hAnsi="宋体" w:cs="宋体"/>
                <w:color w:val="auto"/>
                <w:szCs w:val="21"/>
                <w:highlight w:val="none"/>
              </w:rPr>
            </w:pPr>
            <w:r>
              <w:rPr>
                <w:rFonts w:hint="eastAsia" w:ascii="宋体" w:hAnsi="宋体" w:cs="宋体"/>
                <w:color w:val="auto"/>
                <w:szCs w:val="21"/>
                <w:highlight w:val="none"/>
              </w:rPr>
              <w:t>注：提供《诚信承诺函》盖投标人公章（详见“诚信承诺函格式”），投标人应对提供的《诚信承诺函》负责（格式必须按照招标文件格式要求，不得作出任何调整或修订，否则视为无效证明文件）。</w:t>
            </w:r>
          </w:p>
        </w:tc>
      </w:tr>
    </w:tbl>
    <w:p>
      <w:pPr>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说明：</w:t>
      </w:r>
      <w:r>
        <w:rPr>
          <w:rFonts w:hint="eastAsia" w:ascii="宋体" w:hAnsi="宋体"/>
          <w:color w:val="auto"/>
          <w:szCs w:val="21"/>
          <w:highlight w:val="none"/>
        </w:rPr>
        <w:t>1、本评分表中每一栏的得分最高不得超过该项评审指标的分值。2、表中要求提供相关计分证明文件的内容，投标文件中须明确加以说明，未按要求提供相关文件或说明不清楚的按不符合要求处理。</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三、评标及定标程序</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（一）授权评标委员会确定中标单位的方式</w:t>
      </w:r>
    </w:p>
    <w:p>
      <w:pPr>
        <w:pStyle w:val="7"/>
        <w:numPr>
          <w:ilvl w:val="0"/>
          <w:numId w:val="1"/>
        </w:numPr>
        <w:spacing w:line="440" w:lineRule="exact"/>
        <w:ind w:firstLineChars="0"/>
        <w:rPr>
          <w:rFonts w:ascii="宋体" w:hAnsi="宋体"/>
          <w:b/>
          <w:color w:val="auto"/>
          <w:szCs w:val="21"/>
          <w:highlight w:val="none"/>
        </w:rPr>
      </w:pPr>
      <w:r>
        <w:rPr>
          <w:rFonts w:ascii="宋体" w:hAnsi="宋体"/>
          <w:b/>
          <w:color w:val="auto"/>
          <w:szCs w:val="21"/>
          <w:highlight w:val="none"/>
        </w:rPr>
        <w:t>综合评分法</w:t>
      </w:r>
    </w:p>
    <w:p>
      <w:pPr>
        <w:spacing w:line="440" w:lineRule="exact"/>
        <w:ind w:firstLine="422" w:firstLineChars="200"/>
        <w:rPr>
          <w:rFonts w:ascii="Calibri" w:hAnsi="Calibri"/>
          <w:b/>
          <w:color w:val="auto"/>
          <w:szCs w:val="21"/>
          <w:highlight w:val="none"/>
        </w:rPr>
      </w:pPr>
      <w:r>
        <w:rPr>
          <w:rFonts w:hint="eastAsia" w:ascii="宋体" w:hAnsi="宋体"/>
          <w:b/>
          <w:color w:val="auto"/>
          <w:szCs w:val="21"/>
          <w:highlight w:val="none"/>
        </w:rPr>
        <w:t>1、</w:t>
      </w:r>
      <w:r>
        <w:rPr>
          <w:rFonts w:ascii="Calibri" w:hAnsi="宋体"/>
          <w:b/>
          <w:color w:val="auto"/>
          <w:szCs w:val="21"/>
          <w:highlight w:val="none"/>
        </w:rPr>
        <w:t>符合性检查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商务</w:t>
      </w:r>
      <w:r>
        <w:rPr>
          <w:rFonts w:hint="eastAsia" w:ascii="宋体" w:hAnsi="宋体"/>
          <w:b/>
          <w:color w:val="auto"/>
          <w:szCs w:val="21"/>
          <w:highlight w:val="none"/>
        </w:rPr>
        <w:t>、</w:t>
      </w:r>
      <w:r>
        <w:rPr>
          <w:rFonts w:ascii="宋体" w:hAnsi="宋体"/>
          <w:b/>
          <w:color w:val="auto"/>
          <w:szCs w:val="21"/>
          <w:highlight w:val="none"/>
        </w:rPr>
        <w:t>技术及价格评议</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评标委员会根据《</w:t>
      </w:r>
      <w:r>
        <w:rPr>
          <w:rFonts w:hint="eastAsia" w:ascii="宋体" w:hAnsi="宋体"/>
          <w:color w:val="auto"/>
          <w:szCs w:val="21"/>
          <w:highlight w:val="none"/>
        </w:rPr>
        <w:t>评分表</w:t>
      </w:r>
      <w:r>
        <w:rPr>
          <w:rFonts w:ascii="宋体" w:hAnsi="宋体"/>
          <w:color w:val="auto"/>
          <w:szCs w:val="21"/>
          <w:highlight w:val="none"/>
        </w:rPr>
        <w:t>》的内容和标准，对通过</w:t>
      </w:r>
      <w:r>
        <w:rPr>
          <w:rFonts w:hint="eastAsia" w:ascii="宋体" w:hAnsi="宋体"/>
          <w:bCs/>
          <w:color w:val="auto"/>
          <w:szCs w:val="21"/>
          <w:highlight w:val="none"/>
        </w:rPr>
        <w:t>资格性和</w:t>
      </w:r>
      <w:r>
        <w:rPr>
          <w:rFonts w:ascii="宋体" w:hAnsi="宋体"/>
          <w:bCs/>
          <w:color w:val="auto"/>
          <w:szCs w:val="21"/>
          <w:highlight w:val="none"/>
        </w:rPr>
        <w:t>符合性</w:t>
      </w:r>
      <w:r>
        <w:rPr>
          <w:rFonts w:ascii="宋体" w:hAnsi="宋体"/>
          <w:color w:val="auto"/>
          <w:szCs w:val="21"/>
          <w:highlight w:val="none"/>
        </w:rPr>
        <w:t>检查的投标进行商务</w:t>
      </w:r>
      <w:r>
        <w:rPr>
          <w:rFonts w:hint="eastAsia" w:ascii="宋体" w:hAnsi="宋体"/>
          <w:color w:val="auto"/>
          <w:szCs w:val="21"/>
          <w:highlight w:val="none"/>
        </w:rPr>
        <w:t>、</w:t>
      </w:r>
      <w:r>
        <w:rPr>
          <w:rFonts w:ascii="宋体" w:hAnsi="宋体"/>
          <w:color w:val="auto"/>
          <w:szCs w:val="21"/>
          <w:highlight w:val="none"/>
        </w:rPr>
        <w:t>技术</w:t>
      </w:r>
      <w:r>
        <w:rPr>
          <w:rFonts w:hint="eastAsia" w:ascii="宋体" w:hAnsi="宋体"/>
          <w:color w:val="auto"/>
          <w:szCs w:val="21"/>
          <w:highlight w:val="none"/>
        </w:rPr>
        <w:t>及价格</w:t>
      </w:r>
      <w:r>
        <w:rPr>
          <w:rFonts w:ascii="宋体" w:hAnsi="宋体"/>
          <w:color w:val="auto"/>
          <w:szCs w:val="21"/>
          <w:highlight w:val="none"/>
        </w:rPr>
        <w:t>评议。</w:t>
      </w:r>
    </w:p>
    <w:p>
      <w:pPr>
        <w:spacing w:line="440" w:lineRule="exact"/>
        <w:ind w:firstLine="420" w:firstLineChars="200"/>
        <w:rPr>
          <w:rFonts w:ascii="Calibri" w:hAnsi="Calibri"/>
          <w:color w:val="auto"/>
          <w:szCs w:val="21"/>
          <w:highlight w:val="none"/>
        </w:rPr>
      </w:pPr>
      <w:r>
        <w:rPr>
          <w:rFonts w:hint="eastAsia" w:ascii="宋体" w:hAnsi="宋体"/>
          <w:color w:val="auto"/>
          <w:szCs w:val="21"/>
          <w:highlight w:val="none"/>
        </w:rPr>
        <w:t>（2）</w:t>
      </w:r>
      <w:r>
        <w:rPr>
          <w:rFonts w:ascii="宋体" w:hAnsi="宋体"/>
          <w:color w:val="auto"/>
          <w:szCs w:val="21"/>
          <w:highlight w:val="none"/>
        </w:rPr>
        <w:t>评</w:t>
      </w:r>
      <w:r>
        <w:rPr>
          <w:rFonts w:ascii="Calibri" w:hAnsi="宋体"/>
          <w:color w:val="auto"/>
          <w:szCs w:val="21"/>
          <w:highlight w:val="none"/>
        </w:rPr>
        <w:t>标委员会将对照招标文件中的商务、技术需求条款和投标文件中的商务、技术条款响应进行评议</w:t>
      </w:r>
      <w:r>
        <w:rPr>
          <w:rFonts w:hint="eastAsia" w:ascii="Calibri" w:hAnsi="宋体"/>
          <w:color w:val="auto"/>
          <w:szCs w:val="21"/>
          <w:highlight w:val="none"/>
        </w:rPr>
        <w:t>；</w:t>
      </w:r>
      <w:r>
        <w:rPr>
          <w:rFonts w:ascii="Calibri" w:hAnsi="宋体"/>
          <w:color w:val="auto"/>
          <w:szCs w:val="21"/>
          <w:highlight w:val="none"/>
        </w:rPr>
        <w:t>评标委员会成员将按照《</w:t>
      </w:r>
      <w:r>
        <w:rPr>
          <w:rFonts w:hint="eastAsia" w:ascii="Calibri" w:hAnsi="宋体"/>
          <w:color w:val="auto"/>
          <w:szCs w:val="21"/>
          <w:highlight w:val="none"/>
        </w:rPr>
        <w:t>评分表</w:t>
      </w:r>
      <w:r>
        <w:rPr>
          <w:rFonts w:ascii="Calibri" w:hAnsi="宋体"/>
          <w:color w:val="auto"/>
          <w:szCs w:val="21"/>
          <w:highlight w:val="none"/>
        </w:rPr>
        <w:t>》确定的</w:t>
      </w:r>
      <w:r>
        <w:rPr>
          <w:rFonts w:hint="eastAsia" w:ascii="Calibri" w:hAnsi="宋体"/>
          <w:color w:val="auto"/>
          <w:szCs w:val="21"/>
          <w:highlight w:val="none"/>
        </w:rPr>
        <w:t>分值</w:t>
      </w:r>
      <w:r>
        <w:rPr>
          <w:rFonts w:ascii="Calibri" w:hAnsi="宋体"/>
          <w:color w:val="auto"/>
          <w:szCs w:val="21"/>
          <w:highlight w:val="none"/>
        </w:rPr>
        <w:t>独立对每个投标的商务</w:t>
      </w:r>
      <w:r>
        <w:rPr>
          <w:rFonts w:hint="eastAsia" w:ascii="Calibri" w:hAnsi="宋体"/>
          <w:color w:val="auto"/>
          <w:szCs w:val="21"/>
          <w:highlight w:val="none"/>
        </w:rPr>
        <w:t>、</w:t>
      </w:r>
      <w:r>
        <w:rPr>
          <w:rFonts w:ascii="Calibri" w:hAnsi="宋体"/>
          <w:color w:val="auto"/>
          <w:szCs w:val="21"/>
          <w:highlight w:val="none"/>
        </w:rPr>
        <w:t>技术</w:t>
      </w:r>
      <w:r>
        <w:rPr>
          <w:rFonts w:hint="eastAsia" w:ascii="Calibri" w:hAnsi="宋体"/>
          <w:color w:val="auto"/>
          <w:szCs w:val="21"/>
          <w:highlight w:val="none"/>
        </w:rPr>
        <w:t>及价格</w:t>
      </w:r>
      <w:r>
        <w:rPr>
          <w:rFonts w:ascii="Calibri" w:hAnsi="宋体"/>
          <w:color w:val="auto"/>
          <w:szCs w:val="21"/>
          <w:highlight w:val="none"/>
        </w:rPr>
        <w:t>部分以打分的方式进行评议。</w:t>
      </w:r>
    </w:p>
    <w:p>
      <w:pPr>
        <w:spacing w:line="440" w:lineRule="exact"/>
        <w:ind w:firstLine="422" w:firstLineChars="200"/>
        <w:rPr>
          <w:rFonts w:ascii="Calibri" w:hAnsi="Calibri"/>
          <w:b/>
          <w:color w:val="auto"/>
          <w:szCs w:val="21"/>
          <w:highlight w:val="none"/>
        </w:rPr>
      </w:pPr>
      <w:r>
        <w:rPr>
          <w:rFonts w:hint="eastAsia" w:ascii="宋体" w:hAnsi="宋体"/>
          <w:b/>
          <w:color w:val="auto"/>
          <w:szCs w:val="21"/>
          <w:highlight w:val="none"/>
        </w:rPr>
        <w:t>3、</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3.1  </w:t>
      </w:r>
      <w:r>
        <w:rPr>
          <w:rFonts w:hint="eastAsia" w:ascii="宋体" w:hAnsi="宋体"/>
          <w:b/>
          <w:bCs/>
          <w:color w:val="auto"/>
          <w:szCs w:val="21"/>
          <w:highlight w:val="none"/>
        </w:rPr>
        <w:t>候选中标供应商推荐</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（1）每个投标单位的评标总得分以</w:t>
      </w:r>
      <w:r>
        <w:rPr>
          <w:rFonts w:hint="eastAsia" w:ascii="宋体" w:hAnsi="宋体"/>
          <w:color w:val="auto"/>
          <w:szCs w:val="21"/>
          <w:highlight w:val="none"/>
        </w:rPr>
        <w:t>所有评标委员会成员的独立评分汇总</w:t>
      </w:r>
      <w:r>
        <w:rPr>
          <w:rFonts w:hint="eastAsia" w:ascii="宋体" w:hAnsi="宋体"/>
          <w:bCs/>
          <w:color w:val="auto"/>
          <w:szCs w:val="21"/>
          <w:highlight w:val="none"/>
        </w:rPr>
        <w:t>后确定，</w:t>
      </w:r>
      <w:r>
        <w:rPr>
          <w:rFonts w:ascii="宋体" w:hAnsi="宋体"/>
          <w:bCs/>
          <w:color w:val="auto"/>
          <w:szCs w:val="21"/>
          <w:highlight w:val="none"/>
        </w:rPr>
        <w:t>评标总得分相同的，按投标报价由低到高顺序排列；评标总得分且投标报价相同的，按技术指标</w:t>
      </w:r>
      <w:r>
        <w:rPr>
          <w:rFonts w:hint="eastAsia" w:ascii="宋体" w:hAnsi="宋体"/>
          <w:bCs/>
          <w:color w:val="auto"/>
          <w:szCs w:val="21"/>
          <w:highlight w:val="none"/>
        </w:rPr>
        <w:t>（技术部分）</w:t>
      </w:r>
      <w:r>
        <w:rPr>
          <w:rFonts w:ascii="宋体" w:hAnsi="宋体"/>
          <w:bCs/>
          <w:color w:val="auto"/>
          <w:szCs w:val="21"/>
          <w:highlight w:val="none"/>
        </w:rPr>
        <w:t>得分优劣顺序排列</w:t>
      </w:r>
      <w:r>
        <w:rPr>
          <w:rFonts w:hint="eastAsia" w:ascii="Calibri" w:hAnsi="宋体"/>
          <w:color w:val="auto"/>
          <w:szCs w:val="21"/>
          <w:highlight w:val="none"/>
        </w:rPr>
        <w:t>；如</w:t>
      </w:r>
      <w:r>
        <w:rPr>
          <w:rFonts w:ascii="Calibri" w:hAnsi="宋体"/>
          <w:color w:val="auto"/>
          <w:szCs w:val="21"/>
          <w:highlight w:val="none"/>
        </w:rPr>
        <w:t>技术指标</w:t>
      </w:r>
      <w:r>
        <w:rPr>
          <w:rFonts w:hint="eastAsia" w:ascii="Calibri" w:hAnsi="宋体"/>
          <w:color w:val="auto"/>
          <w:szCs w:val="21"/>
          <w:highlight w:val="none"/>
        </w:rPr>
        <w:t>（技术部分）</w:t>
      </w:r>
      <w:r>
        <w:rPr>
          <w:rFonts w:ascii="Calibri" w:hAnsi="宋体"/>
          <w:color w:val="auto"/>
          <w:szCs w:val="21"/>
          <w:highlight w:val="none"/>
        </w:rPr>
        <w:t>得分</w:t>
      </w:r>
      <w:r>
        <w:rPr>
          <w:rFonts w:hint="eastAsia" w:ascii="Calibri" w:hAnsi="宋体"/>
          <w:color w:val="auto"/>
          <w:szCs w:val="21"/>
          <w:highlight w:val="none"/>
        </w:rPr>
        <w:t>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宋体" w:hAnsi="宋体"/>
          <w:bCs/>
          <w:color w:val="auto"/>
          <w:szCs w:val="21"/>
          <w:highlight w:val="none"/>
        </w:rPr>
        <w:t>。</w:t>
      </w:r>
    </w:p>
    <w:p>
      <w:pPr>
        <w:spacing w:line="440" w:lineRule="exact"/>
        <w:ind w:firstLine="420" w:firstLineChars="200"/>
        <w:rPr>
          <w:color w:val="auto"/>
          <w:szCs w:val="21"/>
          <w:highlight w:val="none"/>
        </w:rPr>
      </w:pPr>
      <w:r>
        <w:rPr>
          <w:rFonts w:hint="eastAsia" w:ascii="宋体" w:hAnsi="宋体"/>
          <w:bCs/>
          <w:color w:val="auto"/>
          <w:szCs w:val="21"/>
          <w:highlight w:val="none"/>
        </w:rPr>
        <w:t>（2）评标委员会按照综合评分的排名结果推荐中标候选供应商，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3.2  定标</w:t>
      </w:r>
    </w:p>
    <w:p>
      <w:pPr>
        <w:spacing w:line="440" w:lineRule="exact"/>
        <w:ind w:firstLine="420" w:firstLineChars="200"/>
        <w:rPr>
          <w:rFonts w:ascii="Calibri" w:hAnsi="Calibri"/>
          <w:color w:val="auto"/>
          <w:szCs w:val="21"/>
          <w:highlight w:val="none"/>
        </w:rPr>
      </w:pPr>
      <w:r>
        <w:rPr>
          <w:rFonts w:hint="eastAsia" w:ascii="宋体" w:hAnsi="宋体"/>
          <w:bCs/>
          <w:color w:val="auto"/>
          <w:szCs w:val="21"/>
          <w:highlight w:val="none"/>
        </w:rPr>
        <w:t>采购方授权评标委员会确定中标单位，确定评标总得分最高且</w:t>
      </w:r>
      <w:r>
        <w:rPr>
          <w:rFonts w:ascii="宋体" w:hAnsi="宋体"/>
          <w:bCs/>
          <w:color w:val="auto"/>
          <w:szCs w:val="21"/>
          <w:highlight w:val="none"/>
        </w:rPr>
        <w:t>排名第一</w:t>
      </w:r>
      <w:r>
        <w:rPr>
          <w:rFonts w:hint="eastAsia" w:ascii="宋体" w:hAnsi="宋体"/>
          <w:bCs/>
          <w:color w:val="auto"/>
          <w:szCs w:val="21"/>
          <w:highlight w:val="none"/>
        </w:rPr>
        <w:t>的投标人为中标单位。</w:t>
      </w:r>
    </w:p>
    <w:p>
      <w:pPr>
        <w:pStyle w:val="7"/>
        <w:numPr>
          <w:ilvl w:val="0"/>
          <w:numId w:val="1"/>
        </w:numPr>
        <w:spacing w:line="440" w:lineRule="exact"/>
        <w:ind w:firstLineChars="0"/>
        <w:rPr>
          <w:rFonts w:ascii="宋体" w:hAnsi="宋体"/>
          <w:b/>
          <w:color w:val="auto"/>
          <w:szCs w:val="21"/>
          <w:highlight w:val="none"/>
        </w:rPr>
      </w:pPr>
      <w:r>
        <w:rPr>
          <w:b/>
          <w:color w:val="auto"/>
          <w:szCs w:val="21"/>
          <w:highlight w:val="none"/>
        </w:rPr>
        <w:t>最低价法</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符合性检查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spacing w:line="440" w:lineRule="exact"/>
        <w:ind w:firstLine="422" w:firstLineChars="200"/>
        <w:rPr>
          <w:rFonts w:ascii="Calibri" w:hAnsi="Calibri"/>
          <w:b/>
          <w:color w:val="auto"/>
          <w:szCs w:val="21"/>
          <w:highlight w:val="none"/>
        </w:rPr>
      </w:pPr>
      <w:r>
        <w:rPr>
          <w:rFonts w:hint="eastAsia" w:ascii="宋体" w:hAnsi="宋体"/>
          <w:b/>
          <w:color w:val="auto"/>
          <w:szCs w:val="21"/>
          <w:highlight w:val="none"/>
        </w:rPr>
        <w:t>2、</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spacing w:line="440" w:lineRule="exact"/>
        <w:ind w:firstLine="422" w:firstLineChars="200"/>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 xml:space="preserve">.1  </w:t>
      </w:r>
      <w:r>
        <w:rPr>
          <w:rFonts w:hint="eastAsia" w:ascii="宋体" w:hAnsi="宋体"/>
          <w:b/>
          <w:bCs/>
          <w:color w:val="auto"/>
          <w:szCs w:val="21"/>
          <w:highlight w:val="none"/>
        </w:rPr>
        <w:t>候选中标供应商推荐</w:t>
      </w:r>
    </w:p>
    <w:p>
      <w:pPr>
        <w:spacing w:line="440" w:lineRule="exact"/>
        <w:ind w:firstLine="435"/>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评标委员会对通过上述检查且最终报价不超过预算控制金额</w:t>
      </w:r>
      <w:r>
        <w:rPr>
          <w:rFonts w:hint="eastAsia" w:ascii="宋体" w:hAnsi="宋体"/>
          <w:color w:val="auto"/>
          <w:szCs w:val="21"/>
          <w:highlight w:val="none"/>
        </w:rPr>
        <w:t>的投标单位进行审查，并</w:t>
      </w:r>
      <w:r>
        <w:rPr>
          <w:rFonts w:ascii="Calibri" w:hAnsi="宋体"/>
          <w:color w:val="auto"/>
          <w:szCs w:val="21"/>
          <w:highlight w:val="none"/>
        </w:rPr>
        <w:t>按投标报价由低到高</w:t>
      </w:r>
      <w:r>
        <w:rPr>
          <w:rFonts w:hint="eastAsia" w:ascii="Calibri" w:hAnsi="宋体"/>
          <w:color w:val="auto"/>
          <w:szCs w:val="21"/>
          <w:highlight w:val="none"/>
        </w:rPr>
        <w:t>排序；</w:t>
      </w:r>
      <w:r>
        <w:rPr>
          <w:rFonts w:ascii="Calibri" w:hAnsi="宋体"/>
          <w:color w:val="auto"/>
          <w:szCs w:val="21"/>
          <w:highlight w:val="none"/>
        </w:rPr>
        <w:t>投标报价相同的，按技术指标优劣顺序排列</w:t>
      </w:r>
      <w:r>
        <w:rPr>
          <w:rFonts w:hint="eastAsia" w:ascii="Calibri" w:hAnsi="宋体"/>
          <w:color w:val="auto"/>
          <w:szCs w:val="21"/>
          <w:highlight w:val="none"/>
        </w:rPr>
        <w:t>；技术指标仍然相同的，则采用抽签方式确定排序，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Calibri" w:hAnsi="宋体"/>
          <w:color w:val="auto"/>
          <w:szCs w:val="21"/>
          <w:highlight w:val="none"/>
        </w:rPr>
        <w:t>。</w:t>
      </w:r>
      <w:r>
        <w:rPr>
          <w:rFonts w:hint="eastAsia" w:ascii="宋体" w:hAnsi="宋体"/>
          <w:color w:val="auto"/>
          <w:szCs w:val="21"/>
          <w:highlight w:val="none"/>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pPr>
        <w:spacing w:line="440" w:lineRule="exact"/>
        <w:ind w:firstLine="435"/>
        <w:rPr>
          <w:rFonts w:ascii="宋体" w:hAnsi="宋体"/>
          <w:b/>
          <w:bCs/>
          <w:color w:val="auto"/>
          <w:szCs w:val="21"/>
          <w:highlight w:val="none"/>
        </w:rPr>
      </w:pPr>
      <w:r>
        <w:rPr>
          <w:rFonts w:hint="eastAsia" w:ascii="宋体" w:hAnsi="宋体"/>
          <w:bCs/>
          <w:color w:val="auto"/>
          <w:szCs w:val="21"/>
          <w:highlight w:val="none"/>
        </w:rPr>
        <w:t>（2）评标委员会按照上述投标</w:t>
      </w:r>
      <w:r>
        <w:rPr>
          <w:rFonts w:ascii="宋体" w:hAnsi="宋体"/>
          <w:bCs/>
          <w:color w:val="auto"/>
          <w:szCs w:val="21"/>
          <w:highlight w:val="none"/>
        </w:rPr>
        <w:t>报价的</w:t>
      </w:r>
      <w:r>
        <w:rPr>
          <w:rFonts w:hint="eastAsia" w:ascii="宋体" w:hAnsi="宋体"/>
          <w:bCs/>
          <w:color w:val="auto"/>
          <w:szCs w:val="21"/>
          <w:highlight w:val="none"/>
        </w:rPr>
        <w:t>排序结果推荐中标候选供应商，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w:t>
      </w:r>
    </w:p>
    <w:p>
      <w:pPr>
        <w:spacing w:line="440" w:lineRule="exact"/>
        <w:ind w:firstLine="435"/>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 xml:space="preserve">.2  </w:t>
      </w:r>
      <w:r>
        <w:rPr>
          <w:rFonts w:hint="eastAsia" w:ascii="宋体" w:hAnsi="宋体"/>
          <w:b/>
          <w:color w:val="auto"/>
          <w:szCs w:val="21"/>
          <w:highlight w:val="none"/>
        </w:rPr>
        <w:t>定标</w:t>
      </w:r>
    </w:p>
    <w:p>
      <w:pPr>
        <w:spacing w:line="440" w:lineRule="exact"/>
        <w:ind w:firstLine="435"/>
        <w:rPr>
          <w:rFonts w:ascii="宋体" w:hAnsi="宋体"/>
          <w:color w:val="auto"/>
          <w:szCs w:val="21"/>
          <w:highlight w:val="none"/>
        </w:rPr>
      </w:pPr>
      <w:r>
        <w:rPr>
          <w:rFonts w:ascii="宋体" w:hAnsi="宋体"/>
          <w:color w:val="auto"/>
          <w:szCs w:val="21"/>
          <w:highlight w:val="none"/>
        </w:rPr>
        <w:t>采购方授权评标委员会确定中标单位，</w:t>
      </w:r>
      <w:r>
        <w:rPr>
          <w:rFonts w:hint="eastAsia" w:ascii="宋体" w:hAnsi="宋体"/>
          <w:color w:val="auto"/>
          <w:szCs w:val="21"/>
          <w:highlight w:val="none"/>
        </w:rPr>
        <w:t>确定</w:t>
      </w:r>
      <w:r>
        <w:rPr>
          <w:rFonts w:ascii="宋体" w:hAnsi="宋体"/>
          <w:color w:val="auto"/>
          <w:szCs w:val="21"/>
          <w:highlight w:val="none"/>
        </w:rPr>
        <w:t>投标</w:t>
      </w:r>
      <w:r>
        <w:rPr>
          <w:rFonts w:hint="eastAsia" w:ascii="宋体" w:hAnsi="宋体"/>
          <w:color w:val="auto"/>
          <w:szCs w:val="21"/>
          <w:highlight w:val="none"/>
        </w:rPr>
        <w:t>报价</w:t>
      </w:r>
      <w:r>
        <w:rPr>
          <w:rFonts w:ascii="宋体" w:hAnsi="宋体"/>
          <w:color w:val="auto"/>
          <w:szCs w:val="21"/>
          <w:highlight w:val="none"/>
        </w:rPr>
        <w:t>最低</w:t>
      </w:r>
      <w:r>
        <w:rPr>
          <w:rFonts w:hint="eastAsia" w:ascii="宋体" w:hAnsi="宋体"/>
          <w:color w:val="auto"/>
          <w:szCs w:val="21"/>
          <w:highlight w:val="none"/>
        </w:rPr>
        <w:t>且</w:t>
      </w:r>
      <w:r>
        <w:rPr>
          <w:rFonts w:ascii="宋体" w:hAnsi="宋体"/>
          <w:color w:val="auto"/>
          <w:szCs w:val="21"/>
          <w:highlight w:val="none"/>
        </w:rPr>
        <w:t>排名第一的投标供应商为中标</w:t>
      </w:r>
      <w:r>
        <w:rPr>
          <w:rFonts w:hint="eastAsia" w:ascii="宋体" w:hAnsi="宋体"/>
          <w:color w:val="auto"/>
          <w:szCs w:val="21"/>
          <w:highlight w:val="none"/>
        </w:rPr>
        <w:t>单位。</w:t>
      </w:r>
    </w:p>
    <w:p>
      <w:pPr>
        <w:spacing w:line="440" w:lineRule="exact"/>
        <w:ind w:firstLine="422" w:firstLineChars="200"/>
        <w:rPr>
          <w:b/>
          <w:color w:val="auto"/>
          <w:highlight w:val="none"/>
        </w:rPr>
      </w:pPr>
      <w:r>
        <w:rPr>
          <w:rFonts w:hint="eastAsia"/>
          <w:b/>
          <w:color w:val="auto"/>
          <w:highlight w:val="none"/>
        </w:rPr>
        <w:t>（二）评标和定标分离的方式</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符合性检查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w:t>
      </w:r>
      <w:r>
        <w:rPr>
          <w:rFonts w:ascii="宋体" w:hAnsi="宋体"/>
          <w:bCs/>
          <w:color w:val="auto"/>
          <w:szCs w:val="21"/>
          <w:highlight w:val="none"/>
        </w:rPr>
        <w:t>评标委员会根据</w:t>
      </w:r>
      <w:r>
        <w:rPr>
          <w:rFonts w:hint="eastAsia" w:ascii="宋体" w:hAnsi="宋体"/>
          <w:bCs/>
          <w:color w:val="auto"/>
          <w:szCs w:val="21"/>
          <w:highlight w:val="none"/>
        </w:rPr>
        <w:t>《</w:t>
      </w:r>
      <w:r>
        <w:rPr>
          <w:rFonts w:ascii="宋体" w:hAnsi="宋体"/>
          <w:bCs/>
          <w:color w:val="auto"/>
          <w:szCs w:val="21"/>
          <w:highlight w:val="none"/>
        </w:rPr>
        <w:t>符合性检查表》的内容和标准，对所有</w:t>
      </w:r>
      <w:r>
        <w:rPr>
          <w:rFonts w:hint="eastAsia" w:ascii="宋体" w:hAnsi="宋体"/>
          <w:bCs/>
          <w:color w:val="auto"/>
          <w:szCs w:val="21"/>
          <w:highlight w:val="none"/>
        </w:rPr>
        <w:t>通过资格性核查的</w:t>
      </w:r>
      <w:r>
        <w:rPr>
          <w:rFonts w:ascii="宋体" w:hAnsi="宋体"/>
          <w:bCs/>
          <w:color w:val="auto"/>
          <w:szCs w:val="21"/>
          <w:highlight w:val="none"/>
        </w:rPr>
        <w:t>投标</w:t>
      </w:r>
      <w:r>
        <w:rPr>
          <w:rFonts w:hint="eastAsia" w:ascii="宋体" w:hAnsi="宋体"/>
          <w:bCs/>
          <w:color w:val="auto"/>
          <w:szCs w:val="21"/>
          <w:highlight w:val="none"/>
        </w:rPr>
        <w:t>文件</w:t>
      </w:r>
      <w:r>
        <w:rPr>
          <w:rFonts w:ascii="宋体" w:hAnsi="宋体"/>
          <w:bCs/>
          <w:color w:val="auto"/>
          <w:szCs w:val="21"/>
          <w:highlight w:val="none"/>
        </w:rPr>
        <w:t>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符合性检查的对象是投标人提交的投标文件，评标委员会只就投标文件中所载明的情况进行</w:t>
      </w:r>
      <w:r>
        <w:rPr>
          <w:rFonts w:hint="eastAsia" w:ascii="宋体" w:hAnsi="宋体"/>
          <w:bCs/>
          <w:color w:val="auto"/>
          <w:szCs w:val="21"/>
          <w:highlight w:val="none"/>
        </w:rPr>
        <w:t>审</w:t>
      </w:r>
      <w:r>
        <w:rPr>
          <w:rFonts w:ascii="宋体" w:hAnsi="宋体"/>
          <w:bCs/>
          <w:color w:val="auto"/>
          <w:szCs w:val="21"/>
          <w:highlight w:val="none"/>
        </w:rPr>
        <w:t>查。</w:t>
      </w:r>
    </w:p>
    <w:p>
      <w:pPr>
        <w:spacing w:line="440" w:lineRule="exact"/>
        <w:ind w:firstLine="420" w:firstLineChars="200"/>
        <w:rPr>
          <w:rFonts w:ascii="Calibri" w:hAnsi="Calibri"/>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符</w:t>
      </w:r>
      <w:r>
        <w:rPr>
          <w:rFonts w:ascii="Calibri" w:hAnsi="宋体"/>
          <w:color w:val="auto"/>
          <w:szCs w:val="21"/>
          <w:highlight w:val="none"/>
        </w:rPr>
        <w:t>合性检查的结果是</w:t>
      </w:r>
      <w:r>
        <w:rPr>
          <w:rFonts w:ascii="Calibri" w:hAnsi="Calibri"/>
          <w:color w:val="auto"/>
          <w:szCs w:val="21"/>
          <w:highlight w:val="none"/>
        </w:rPr>
        <w:t>“</w:t>
      </w:r>
      <w:r>
        <w:rPr>
          <w:rFonts w:ascii="Calibri" w:hAnsi="宋体"/>
          <w:color w:val="auto"/>
          <w:szCs w:val="21"/>
          <w:highlight w:val="none"/>
        </w:rPr>
        <w:t>通过</w:t>
      </w:r>
      <w:r>
        <w:rPr>
          <w:rFonts w:ascii="Calibri" w:hAnsi="Calibri"/>
          <w:color w:val="auto"/>
          <w:szCs w:val="21"/>
          <w:highlight w:val="none"/>
        </w:rPr>
        <w:t>”</w:t>
      </w:r>
      <w:r>
        <w:rPr>
          <w:rFonts w:ascii="Calibri" w:hAnsi="宋体"/>
          <w:color w:val="auto"/>
          <w:szCs w:val="21"/>
          <w:highlight w:val="none"/>
        </w:rPr>
        <w:t>或</w:t>
      </w:r>
      <w:r>
        <w:rPr>
          <w:rFonts w:ascii="Calibri" w:hAnsi="Calibri"/>
          <w:color w:val="auto"/>
          <w:szCs w:val="21"/>
          <w:highlight w:val="none"/>
        </w:rPr>
        <w:t>“</w:t>
      </w:r>
      <w:r>
        <w:rPr>
          <w:rFonts w:ascii="Calibri" w:hAnsi="宋体"/>
          <w:color w:val="auto"/>
          <w:szCs w:val="21"/>
          <w:highlight w:val="none"/>
        </w:rPr>
        <w:t>不通过</w:t>
      </w:r>
      <w:r>
        <w:rPr>
          <w:rFonts w:ascii="Calibri" w:hAnsi="Calibri"/>
          <w:color w:val="auto"/>
          <w:szCs w:val="21"/>
          <w:highlight w:val="none"/>
        </w:rPr>
        <w:t>”</w:t>
      </w:r>
      <w:r>
        <w:rPr>
          <w:rFonts w:ascii="Calibri" w:hAnsi="宋体"/>
          <w:color w:val="auto"/>
          <w:szCs w:val="21"/>
          <w:highlight w:val="none"/>
        </w:rPr>
        <w:t>，只有逐条通过</w:t>
      </w:r>
      <w:r>
        <w:rPr>
          <w:rFonts w:ascii="宋体" w:hAnsi="宋体"/>
          <w:bCs/>
          <w:color w:val="auto"/>
          <w:szCs w:val="21"/>
          <w:highlight w:val="none"/>
        </w:rPr>
        <w:t>《符合性检查表》</w:t>
      </w:r>
      <w:r>
        <w:rPr>
          <w:rFonts w:ascii="Calibri" w:hAnsi="宋体"/>
          <w:color w:val="auto"/>
          <w:szCs w:val="21"/>
          <w:highlight w:val="none"/>
        </w:rPr>
        <w:t>各项检查的投标方能进入下一阶段的评标，否则将导致其投标被废标。</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商务</w:t>
      </w:r>
      <w:r>
        <w:rPr>
          <w:rFonts w:hint="eastAsia" w:ascii="宋体" w:hAnsi="宋体"/>
          <w:b/>
          <w:color w:val="auto"/>
          <w:szCs w:val="21"/>
          <w:highlight w:val="none"/>
        </w:rPr>
        <w:t>、</w:t>
      </w:r>
      <w:r>
        <w:rPr>
          <w:rFonts w:ascii="宋体" w:hAnsi="宋体"/>
          <w:b/>
          <w:color w:val="auto"/>
          <w:szCs w:val="21"/>
          <w:highlight w:val="none"/>
        </w:rPr>
        <w:t>技术及价格评议</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评标委员会根据《</w:t>
      </w:r>
      <w:r>
        <w:rPr>
          <w:rFonts w:hint="eastAsia" w:ascii="宋体" w:hAnsi="宋体"/>
          <w:color w:val="auto"/>
          <w:szCs w:val="21"/>
          <w:highlight w:val="none"/>
        </w:rPr>
        <w:t>评分表</w:t>
      </w:r>
      <w:r>
        <w:rPr>
          <w:rFonts w:ascii="宋体" w:hAnsi="宋体"/>
          <w:color w:val="auto"/>
          <w:szCs w:val="21"/>
          <w:highlight w:val="none"/>
        </w:rPr>
        <w:t>》的内容和标准，对通过</w:t>
      </w:r>
      <w:r>
        <w:rPr>
          <w:rFonts w:hint="eastAsia" w:ascii="宋体" w:hAnsi="宋体"/>
          <w:bCs/>
          <w:color w:val="auto"/>
          <w:szCs w:val="21"/>
          <w:highlight w:val="none"/>
        </w:rPr>
        <w:t>资格性和</w:t>
      </w:r>
      <w:r>
        <w:rPr>
          <w:rFonts w:ascii="宋体" w:hAnsi="宋体"/>
          <w:bCs/>
          <w:color w:val="auto"/>
          <w:szCs w:val="21"/>
          <w:highlight w:val="none"/>
        </w:rPr>
        <w:t>符合性</w:t>
      </w:r>
      <w:r>
        <w:rPr>
          <w:rFonts w:ascii="宋体" w:hAnsi="宋体"/>
          <w:color w:val="auto"/>
          <w:szCs w:val="21"/>
          <w:highlight w:val="none"/>
        </w:rPr>
        <w:t>检查的投标进行商务</w:t>
      </w:r>
      <w:r>
        <w:rPr>
          <w:rFonts w:hint="eastAsia" w:ascii="宋体" w:hAnsi="宋体"/>
          <w:color w:val="auto"/>
          <w:szCs w:val="21"/>
          <w:highlight w:val="none"/>
        </w:rPr>
        <w:t>、</w:t>
      </w:r>
      <w:r>
        <w:rPr>
          <w:rFonts w:ascii="宋体" w:hAnsi="宋体"/>
          <w:color w:val="auto"/>
          <w:szCs w:val="21"/>
          <w:highlight w:val="none"/>
        </w:rPr>
        <w:t>技术</w:t>
      </w:r>
      <w:r>
        <w:rPr>
          <w:rFonts w:hint="eastAsia" w:ascii="宋体" w:hAnsi="宋体"/>
          <w:color w:val="auto"/>
          <w:szCs w:val="21"/>
          <w:highlight w:val="none"/>
        </w:rPr>
        <w:t>及价格</w:t>
      </w:r>
      <w:r>
        <w:rPr>
          <w:rFonts w:ascii="宋体" w:hAnsi="宋体"/>
          <w:color w:val="auto"/>
          <w:szCs w:val="21"/>
          <w:highlight w:val="none"/>
        </w:rPr>
        <w:t>评议。</w:t>
      </w:r>
    </w:p>
    <w:p>
      <w:pPr>
        <w:spacing w:line="440" w:lineRule="exact"/>
        <w:ind w:firstLine="420" w:firstLineChars="200"/>
        <w:rPr>
          <w:rFonts w:ascii="Calibri" w:hAnsi="Calibri"/>
          <w:color w:val="auto"/>
          <w:szCs w:val="21"/>
          <w:highlight w:val="none"/>
        </w:rPr>
      </w:pPr>
      <w:r>
        <w:rPr>
          <w:rFonts w:hint="eastAsia" w:ascii="宋体" w:hAnsi="宋体"/>
          <w:color w:val="auto"/>
          <w:szCs w:val="21"/>
          <w:highlight w:val="none"/>
        </w:rPr>
        <w:t>（2）</w:t>
      </w:r>
      <w:r>
        <w:rPr>
          <w:rFonts w:ascii="宋体" w:hAnsi="宋体"/>
          <w:color w:val="auto"/>
          <w:szCs w:val="21"/>
          <w:highlight w:val="none"/>
        </w:rPr>
        <w:t>评</w:t>
      </w:r>
      <w:r>
        <w:rPr>
          <w:rFonts w:ascii="Calibri" w:hAnsi="宋体"/>
          <w:color w:val="auto"/>
          <w:szCs w:val="21"/>
          <w:highlight w:val="none"/>
        </w:rPr>
        <w:t>标委员会将对照招标文件中的商务、技术需求条款和投标文件中的商务、技术条款响应进行评议</w:t>
      </w:r>
      <w:r>
        <w:rPr>
          <w:rFonts w:hint="eastAsia" w:ascii="Calibri" w:hAnsi="宋体"/>
          <w:color w:val="auto"/>
          <w:szCs w:val="21"/>
          <w:highlight w:val="none"/>
        </w:rPr>
        <w:t>；</w:t>
      </w:r>
      <w:r>
        <w:rPr>
          <w:rFonts w:ascii="Calibri" w:hAnsi="宋体"/>
          <w:color w:val="auto"/>
          <w:szCs w:val="21"/>
          <w:highlight w:val="none"/>
        </w:rPr>
        <w:t>评标委员会成员将按照《</w:t>
      </w:r>
      <w:r>
        <w:rPr>
          <w:rFonts w:hint="eastAsia" w:ascii="Calibri" w:hAnsi="宋体"/>
          <w:color w:val="auto"/>
          <w:szCs w:val="21"/>
          <w:highlight w:val="none"/>
        </w:rPr>
        <w:t>评分表</w:t>
      </w:r>
      <w:r>
        <w:rPr>
          <w:rFonts w:ascii="Calibri" w:hAnsi="宋体"/>
          <w:color w:val="auto"/>
          <w:szCs w:val="21"/>
          <w:highlight w:val="none"/>
        </w:rPr>
        <w:t>》确定的</w:t>
      </w:r>
      <w:r>
        <w:rPr>
          <w:rFonts w:hint="eastAsia" w:ascii="Calibri" w:hAnsi="宋体"/>
          <w:color w:val="auto"/>
          <w:szCs w:val="21"/>
          <w:highlight w:val="none"/>
        </w:rPr>
        <w:t>分值</w:t>
      </w:r>
      <w:r>
        <w:rPr>
          <w:rFonts w:ascii="Calibri" w:hAnsi="宋体"/>
          <w:color w:val="auto"/>
          <w:szCs w:val="21"/>
          <w:highlight w:val="none"/>
        </w:rPr>
        <w:t>独立对每个投标的商务</w:t>
      </w:r>
      <w:r>
        <w:rPr>
          <w:rFonts w:hint="eastAsia" w:ascii="Calibri" w:hAnsi="宋体"/>
          <w:color w:val="auto"/>
          <w:szCs w:val="21"/>
          <w:highlight w:val="none"/>
        </w:rPr>
        <w:t>、</w:t>
      </w:r>
      <w:r>
        <w:rPr>
          <w:rFonts w:ascii="Calibri" w:hAnsi="宋体"/>
          <w:color w:val="auto"/>
          <w:szCs w:val="21"/>
          <w:highlight w:val="none"/>
        </w:rPr>
        <w:t>技术</w:t>
      </w:r>
      <w:r>
        <w:rPr>
          <w:rFonts w:hint="eastAsia" w:ascii="Calibri" w:hAnsi="宋体"/>
          <w:color w:val="auto"/>
          <w:szCs w:val="21"/>
          <w:highlight w:val="none"/>
        </w:rPr>
        <w:t>及价格</w:t>
      </w:r>
      <w:r>
        <w:rPr>
          <w:rFonts w:ascii="Calibri" w:hAnsi="宋体"/>
          <w:color w:val="auto"/>
          <w:szCs w:val="21"/>
          <w:highlight w:val="none"/>
        </w:rPr>
        <w:t>部分以打分的方式进行评议。</w:t>
      </w:r>
    </w:p>
    <w:p>
      <w:pPr>
        <w:spacing w:line="440" w:lineRule="exact"/>
        <w:ind w:firstLine="422" w:firstLineChars="200"/>
        <w:rPr>
          <w:rFonts w:ascii="Calibri" w:hAnsi="Calibri"/>
          <w:b/>
          <w:color w:val="auto"/>
          <w:szCs w:val="21"/>
          <w:highlight w:val="none"/>
        </w:rPr>
      </w:pPr>
      <w:r>
        <w:rPr>
          <w:rFonts w:hint="eastAsia" w:ascii="宋体" w:hAnsi="宋体"/>
          <w:b/>
          <w:color w:val="auto"/>
          <w:szCs w:val="21"/>
          <w:highlight w:val="none"/>
        </w:rPr>
        <w:t>3、</w:t>
      </w:r>
      <w:r>
        <w:rPr>
          <w:rFonts w:ascii="Calibri" w:hAnsi="宋体"/>
          <w:b/>
          <w:color w:val="auto"/>
          <w:szCs w:val="21"/>
          <w:highlight w:val="none"/>
        </w:rPr>
        <w:t>中标</w:t>
      </w:r>
      <w:r>
        <w:rPr>
          <w:rFonts w:hint="eastAsia" w:ascii="Calibri" w:hAnsi="宋体"/>
          <w:b/>
          <w:color w:val="auto"/>
          <w:szCs w:val="21"/>
          <w:highlight w:val="none"/>
        </w:rPr>
        <w:t>单位</w:t>
      </w:r>
      <w:r>
        <w:rPr>
          <w:rFonts w:ascii="Calibri" w:hAnsi="宋体"/>
          <w:b/>
          <w:color w:val="auto"/>
          <w:szCs w:val="21"/>
          <w:highlight w:val="none"/>
        </w:rPr>
        <w:t>的确定</w:t>
      </w:r>
    </w:p>
    <w:p>
      <w:pPr>
        <w:spacing w:line="44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3.1  </w:t>
      </w:r>
      <w:r>
        <w:rPr>
          <w:rFonts w:hint="eastAsia" w:ascii="宋体" w:hAnsi="宋体"/>
          <w:b/>
          <w:bCs/>
          <w:color w:val="auto"/>
          <w:szCs w:val="21"/>
          <w:highlight w:val="none"/>
        </w:rPr>
        <w:t>候选中标供应商推荐</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（1）每个投标单位的评标总得分以</w:t>
      </w:r>
      <w:r>
        <w:rPr>
          <w:rFonts w:hint="eastAsia" w:ascii="宋体" w:hAnsi="宋体"/>
          <w:color w:val="auto"/>
          <w:szCs w:val="21"/>
          <w:highlight w:val="none"/>
        </w:rPr>
        <w:t>所有评标委员会成员的独立评分汇总</w:t>
      </w:r>
      <w:r>
        <w:rPr>
          <w:rFonts w:hint="eastAsia" w:ascii="宋体" w:hAnsi="宋体"/>
          <w:bCs/>
          <w:color w:val="auto"/>
          <w:szCs w:val="21"/>
          <w:highlight w:val="none"/>
        </w:rPr>
        <w:t>后确定，</w:t>
      </w:r>
      <w:r>
        <w:rPr>
          <w:rFonts w:ascii="宋体" w:hAnsi="宋体"/>
          <w:bCs/>
          <w:color w:val="auto"/>
          <w:szCs w:val="21"/>
          <w:highlight w:val="none"/>
        </w:rPr>
        <w:t>评标总得分相同的，按投标报价由低到高顺序排列；评标总得分且投标报价相同的，按技术指标</w:t>
      </w:r>
      <w:r>
        <w:rPr>
          <w:rFonts w:hint="eastAsia" w:ascii="宋体" w:hAnsi="宋体"/>
          <w:bCs/>
          <w:color w:val="auto"/>
          <w:szCs w:val="21"/>
          <w:highlight w:val="none"/>
        </w:rPr>
        <w:t>（技术部分）</w:t>
      </w:r>
      <w:r>
        <w:rPr>
          <w:rFonts w:ascii="宋体" w:hAnsi="宋体"/>
          <w:bCs/>
          <w:color w:val="auto"/>
          <w:szCs w:val="21"/>
          <w:highlight w:val="none"/>
        </w:rPr>
        <w:t>得分优劣顺序排列</w:t>
      </w:r>
      <w:r>
        <w:rPr>
          <w:rFonts w:hint="eastAsia" w:ascii="Calibri" w:hAnsi="宋体"/>
          <w:color w:val="auto"/>
          <w:szCs w:val="21"/>
          <w:highlight w:val="none"/>
        </w:rPr>
        <w:t>；如</w:t>
      </w:r>
      <w:r>
        <w:rPr>
          <w:rFonts w:ascii="Calibri" w:hAnsi="宋体"/>
          <w:color w:val="auto"/>
          <w:szCs w:val="21"/>
          <w:highlight w:val="none"/>
        </w:rPr>
        <w:t>技术指标</w:t>
      </w:r>
      <w:r>
        <w:rPr>
          <w:rFonts w:hint="eastAsia" w:ascii="Calibri" w:hAnsi="宋体"/>
          <w:color w:val="auto"/>
          <w:szCs w:val="21"/>
          <w:highlight w:val="none"/>
        </w:rPr>
        <w:t>（技术部分）</w:t>
      </w:r>
      <w:r>
        <w:rPr>
          <w:rFonts w:ascii="Calibri" w:hAnsi="宋体"/>
          <w:color w:val="auto"/>
          <w:szCs w:val="21"/>
          <w:highlight w:val="none"/>
        </w:rPr>
        <w:t>得分</w:t>
      </w:r>
      <w:r>
        <w:rPr>
          <w:rFonts w:hint="eastAsia" w:ascii="Calibri" w:hAnsi="宋体"/>
          <w:color w:val="auto"/>
          <w:szCs w:val="21"/>
          <w:highlight w:val="none"/>
        </w:rPr>
        <w:t>仍然相同的，则采用抽签方式确定排序，</w:t>
      </w:r>
      <w:r>
        <w:rPr>
          <w:rFonts w:hint="eastAsia" w:asciiTheme="minorEastAsia" w:hAnsiTheme="minorEastAsia" w:eastAsiaTheme="minorEastAsia"/>
          <w:color w:val="auto"/>
          <w:szCs w:val="21"/>
          <w:highlight w:val="none"/>
        </w:rPr>
        <w:t>具体操作办法及流程由评标委员会确定</w:t>
      </w:r>
      <w:r>
        <w:rPr>
          <w:rFonts w:ascii="宋体" w:hAnsi="宋体"/>
          <w:bCs/>
          <w:color w:val="auto"/>
          <w:szCs w:val="21"/>
          <w:highlight w:val="none"/>
        </w:rPr>
        <w:t>。</w:t>
      </w:r>
    </w:p>
    <w:p>
      <w:pPr>
        <w:spacing w:line="440" w:lineRule="exact"/>
        <w:ind w:firstLine="420" w:firstLineChars="200"/>
        <w:rPr>
          <w:color w:val="auto"/>
          <w:szCs w:val="21"/>
          <w:highlight w:val="none"/>
        </w:rPr>
      </w:pPr>
      <w:r>
        <w:rPr>
          <w:rFonts w:hint="eastAsia" w:ascii="宋体" w:hAnsi="宋体"/>
          <w:bCs/>
          <w:color w:val="auto"/>
          <w:szCs w:val="21"/>
          <w:highlight w:val="none"/>
        </w:rPr>
        <w:t>（2）评标委员会按照综合评分的排名结果推荐中标候选供应商，</w:t>
      </w:r>
      <w:r>
        <w:rPr>
          <w:rFonts w:hint="eastAsia" w:ascii="宋体" w:hAnsi="宋体"/>
          <w:color w:val="auto"/>
          <w:szCs w:val="21"/>
          <w:highlight w:val="none"/>
        </w:rPr>
        <w:t>排名前三的投标单位</w:t>
      </w:r>
      <w:r>
        <w:rPr>
          <w:rFonts w:hint="eastAsia" w:ascii="宋体" w:hAnsi="宋体"/>
          <w:bCs/>
          <w:color w:val="auto"/>
          <w:szCs w:val="21"/>
          <w:highlight w:val="none"/>
        </w:rPr>
        <w:t>作为推荐的候选中标供应商（排名不分先后）。</w:t>
      </w:r>
    </w:p>
    <w:p>
      <w:pPr>
        <w:spacing w:line="4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3.2  定标</w:t>
      </w:r>
    </w:p>
    <w:p>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采购单位从评标委员会推荐的候选中标供应商中，</w:t>
      </w:r>
      <w:r>
        <w:rPr>
          <w:rFonts w:ascii="宋体" w:hAnsi="宋体"/>
          <w:bCs/>
          <w:color w:val="auto"/>
          <w:szCs w:val="21"/>
          <w:highlight w:val="none"/>
        </w:rPr>
        <w:t>采用</w:t>
      </w:r>
      <w:r>
        <w:rPr>
          <w:rFonts w:ascii="宋体" w:hAnsi="宋体"/>
          <w:b/>
          <w:bCs/>
          <w:color w:val="auto"/>
          <w:szCs w:val="21"/>
          <w:highlight w:val="none"/>
        </w:rPr>
        <w:t>自定法</w:t>
      </w:r>
      <w:r>
        <w:rPr>
          <w:rFonts w:hint="eastAsia" w:ascii="宋体" w:hAnsi="宋体"/>
          <w:bCs/>
          <w:color w:val="auto"/>
          <w:szCs w:val="21"/>
          <w:highlight w:val="none"/>
        </w:rPr>
        <w:t>自行选择确定一名中标单位，具体操作程序按照《深圳市政府采购评标定标分离管理办法》要求执行。</w:t>
      </w:r>
    </w:p>
    <w:p>
      <w:pPr>
        <w:spacing w:line="440" w:lineRule="exact"/>
        <w:ind w:firstLine="386" w:firstLineChars="183"/>
        <w:rPr>
          <w:rFonts w:ascii="宋体" w:hAnsi="宋体"/>
          <w:b/>
          <w:color w:val="auto"/>
          <w:szCs w:val="21"/>
          <w:highlight w:val="none"/>
        </w:rPr>
      </w:pPr>
      <w:r>
        <w:rPr>
          <w:rFonts w:hint="eastAsia" w:ascii="宋体" w:hAnsi="宋体"/>
          <w:b/>
          <w:color w:val="auto"/>
          <w:szCs w:val="21"/>
          <w:highlight w:val="none"/>
        </w:rPr>
        <w:t>4、质疑投诉处理：</w:t>
      </w:r>
      <w:r>
        <w:rPr>
          <w:rFonts w:hint="eastAsia" w:ascii="宋体" w:hAnsi="宋体"/>
          <w:color w:val="auto"/>
          <w:szCs w:val="21"/>
          <w:highlight w:val="none"/>
        </w:rPr>
        <w:t>确定中标单位后出现质疑投诉的，按照以下程序进行处理：（1）中标单位因质疑、投诉等问题被取消或</w:t>
      </w:r>
      <w:r>
        <w:rPr>
          <w:rFonts w:ascii="宋体" w:hAnsi="宋体"/>
          <w:color w:val="auto"/>
          <w:szCs w:val="21"/>
          <w:highlight w:val="none"/>
        </w:rPr>
        <w:t>放弃</w:t>
      </w:r>
      <w:r>
        <w:rPr>
          <w:rFonts w:hint="eastAsia" w:ascii="宋体" w:hAnsi="宋体"/>
          <w:color w:val="auto"/>
          <w:szCs w:val="21"/>
          <w:highlight w:val="none"/>
        </w:rPr>
        <w:t>候选中标资格，候选</w:t>
      </w:r>
      <w:r>
        <w:rPr>
          <w:rFonts w:ascii="宋体" w:hAnsi="宋体"/>
          <w:color w:val="auto"/>
          <w:szCs w:val="21"/>
          <w:highlight w:val="none"/>
        </w:rPr>
        <w:t>中标</w:t>
      </w:r>
      <w:r>
        <w:rPr>
          <w:rFonts w:hint="eastAsia" w:ascii="宋体" w:hAnsi="宋体"/>
          <w:color w:val="auto"/>
          <w:szCs w:val="21"/>
          <w:highlight w:val="none"/>
        </w:rPr>
        <w:t>供应商</w:t>
      </w:r>
      <w:r>
        <w:rPr>
          <w:rFonts w:ascii="宋体" w:hAnsi="宋体"/>
          <w:color w:val="auto"/>
          <w:szCs w:val="21"/>
          <w:highlight w:val="none"/>
        </w:rPr>
        <w:t>不再</w:t>
      </w:r>
      <w:r>
        <w:rPr>
          <w:rFonts w:hint="eastAsia" w:ascii="宋体" w:hAnsi="宋体"/>
          <w:color w:val="auto"/>
          <w:szCs w:val="21"/>
          <w:highlight w:val="none"/>
        </w:rPr>
        <w:t>替补</w:t>
      </w:r>
      <w:r>
        <w:rPr>
          <w:rFonts w:ascii="宋体" w:hAnsi="宋体"/>
          <w:color w:val="auto"/>
          <w:szCs w:val="21"/>
          <w:highlight w:val="none"/>
        </w:rPr>
        <w:t>，</w:t>
      </w:r>
      <w:r>
        <w:rPr>
          <w:rFonts w:hint="eastAsia" w:ascii="宋体" w:hAnsi="宋体"/>
          <w:color w:val="auto"/>
          <w:szCs w:val="21"/>
          <w:highlight w:val="none"/>
        </w:rPr>
        <w:t>如有效</w:t>
      </w:r>
      <w:r>
        <w:rPr>
          <w:rFonts w:ascii="宋体" w:hAnsi="宋体"/>
          <w:color w:val="auto"/>
          <w:szCs w:val="21"/>
          <w:highlight w:val="none"/>
        </w:rPr>
        <w:t>投标</w:t>
      </w:r>
      <w:r>
        <w:rPr>
          <w:rFonts w:hint="eastAsia" w:ascii="宋体" w:hAnsi="宋体"/>
          <w:color w:val="auto"/>
          <w:szCs w:val="21"/>
          <w:highlight w:val="none"/>
        </w:rPr>
        <w:t>供应商满足</w:t>
      </w:r>
      <w:r>
        <w:rPr>
          <w:rFonts w:ascii="宋体" w:hAnsi="宋体"/>
          <w:color w:val="auto"/>
          <w:szCs w:val="21"/>
          <w:highlight w:val="none"/>
        </w:rPr>
        <w:t>法定数量</w:t>
      </w:r>
      <w:r>
        <w:rPr>
          <w:rFonts w:hint="eastAsia" w:ascii="宋体" w:hAnsi="宋体"/>
          <w:color w:val="auto"/>
          <w:szCs w:val="21"/>
          <w:highlight w:val="none"/>
        </w:rPr>
        <w:t>，可按</w:t>
      </w:r>
      <w:r>
        <w:rPr>
          <w:rFonts w:ascii="宋体" w:hAnsi="宋体"/>
          <w:color w:val="auto"/>
          <w:szCs w:val="21"/>
          <w:highlight w:val="none"/>
        </w:rPr>
        <w:t>相关规定</w:t>
      </w:r>
      <w:r>
        <w:rPr>
          <w:rFonts w:hint="eastAsia" w:ascii="宋体" w:hAnsi="宋体"/>
          <w:color w:val="auto"/>
          <w:szCs w:val="21"/>
          <w:highlight w:val="none"/>
        </w:rPr>
        <w:t>在</w:t>
      </w:r>
      <w:r>
        <w:rPr>
          <w:rFonts w:ascii="宋体" w:hAnsi="宋体"/>
          <w:color w:val="auto"/>
          <w:szCs w:val="21"/>
          <w:highlight w:val="none"/>
        </w:rPr>
        <w:t>其他</w:t>
      </w:r>
      <w:r>
        <w:rPr>
          <w:rFonts w:hint="eastAsia" w:ascii="宋体" w:hAnsi="宋体"/>
          <w:color w:val="auto"/>
          <w:szCs w:val="21"/>
          <w:highlight w:val="none"/>
        </w:rPr>
        <w:t>候选</w:t>
      </w:r>
      <w:r>
        <w:rPr>
          <w:rFonts w:ascii="宋体" w:hAnsi="宋体"/>
          <w:color w:val="auto"/>
          <w:szCs w:val="21"/>
          <w:highlight w:val="none"/>
        </w:rPr>
        <w:t>中标</w:t>
      </w:r>
      <w:r>
        <w:rPr>
          <w:rFonts w:hint="eastAsia" w:ascii="宋体" w:hAnsi="宋体"/>
          <w:color w:val="auto"/>
          <w:szCs w:val="21"/>
          <w:highlight w:val="none"/>
        </w:rPr>
        <w:t>供应商中另行</w:t>
      </w:r>
      <w:r>
        <w:rPr>
          <w:rFonts w:ascii="宋体" w:hAnsi="宋体"/>
          <w:color w:val="auto"/>
          <w:szCs w:val="21"/>
          <w:highlight w:val="none"/>
        </w:rPr>
        <w:t>确定中标</w:t>
      </w:r>
      <w:r>
        <w:rPr>
          <w:rFonts w:hint="eastAsia" w:ascii="宋体" w:hAnsi="宋体"/>
          <w:color w:val="auto"/>
          <w:szCs w:val="21"/>
          <w:highlight w:val="none"/>
        </w:rPr>
        <w:t>单位</w:t>
      </w:r>
      <w:r>
        <w:rPr>
          <w:rFonts w:ascii="宋体" w:hAnsi="宋体"/>
          <w:color w:val="auto"/>
          <w:szCs w:val="21"/>
          <w:highlight w:val="none"/>
        </w:rPr>
        <w:t>，或者</w:t>
      </w:r>
      <w:r>
        <w:rPr>
          <w:rFonts w:hint="eastAsia" w:ascii="宋体" w:hAnsi="宋体"/>
          <w:color w:val="auto"/>
          <w:szCs w:val="21"/>
          <w:highlight w:val="none"/>
        </w:rPr>
        <w:t>重新组织招标；（2）候选中标供应商因质疑、投诉等问题被取消候选中标资格，如有效</w:t>
      </w:r>
      <w:r>
        <w:rPr>
          <w:rFonts w:ascii="宋体" w:hAnsi="宋体"/>
          <w:color w:val="auto"/>
          <w:szCs w:val="21"/>
          <w:highlight w:val="none"/>
        </w:rPr>
        <w:t>投标</w:t>
      </w:r>
      <w:r>
        <w:rPr>
          <w:rFonts w:hint="eastAsia" w:ascii="宋体" w:hAnsi="宋体"/>
          <w:color w:val="auto"/>
          <w:szCs w:val="21"/>
          <w:highlight w:val="none"/>
        </w:rPr>
        <w:t>供应商满足</w:t>
      </w:r>
      <w:r>
        <w:rPr>
          <w:rFonts w:ascii="宋体" w:hAnsi="宋体"/>
          <w:color w:val="auto"/>
          <w:szCs w:val="21"/>
          <w:highlight w:val="none"/>
        </w:rPr>
        <w:t>法定数量</w:t>
      </w:r>
      <w:r>
        <w:rPr>
          <w:rFonts w:hint="eastAsia" w:ascii="宋体" w:hAnsi="宋体"/>
          <w:color w:val="auto"/>
          <w:szCs w:val="21"/>
          <w:highlight w:val="none"/>
        </w:rPr>
        <w:t>，则维持原中标结果；如有效</w:t>
      </w:r>
      <w:r>
        <w:rPr>
          <w:rFonts w:ascii="宋体" w:hAnsi="宋体"/>
          <w:color w:val="auto"/>
          <w:szCs w:val="21"/>
          <w:highlight w:val="none"/>
        </w:rPr>
        <w:t>投标</w:t>
      </w:r>
      <w:r>
        <w:rPr>
          <w:rFonts w:hint="eastAsia" w:ascii="宋体" w:hAnsi="宋体"/>
          <w:color w:val="auto"/>
          <w:szCs w:val="21"/>
          <w:highlight w:val="none"/>
        </w:rPr>
        <w:t>供应商不足</w:t>
      </w:r>
      <w:r>
        <w:rPr>
          <w:rFonts w:ascii="宋体" w:hAnsi="宋体"/>
          <w:color w:val="auto"/>
          <w:szCs w:val="21"/>
          <w:highlight w:val="none"/>
        </w:rPr>
        <w:t>法定数量</w:t>
      </w:r>
      <w:r>
        <w:rPr>
          <w:rFonts w:hint="eastAsia" w:ascii="宋体" w:hAnsi="宋体"/>
          <w:color w:val="auto"/>
          <w:szCs w:val="21"/>
          <w:highlight w:val="none"/>
        </w:rPr>
        <w:t>，则该项目作废标处理，重新组织招标。</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12D3C"/>
    <w:rsid w:val="3261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table" w:styleId="4">
    <w:name w:val="Table Grid"/>
    <w:basedOn w:val="3"/>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Table Paragraph"/>
    <w:basedOn w:val="1"/>
    <w:qFormat/>
    <w:uiPriority w:val="0"/>
    <w:pPr>
      <w:widowControl/>
      <w:autoSpaceDE w:val="0"/>
      <w:autoSpaceDN w:val="0"/>
      <w:adjustRightInd w:val="0"/>
      <w:jc w:val="left"/>
      <w:textAlignment w:val="baseline"/>
    </w:pPr>
    <w:rPr>
      <w:kern w:val="0"/>
      <w:sz w:val="24"/>
    </w:rPr>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2023-07-13T01:32:00Z</dcterms:created>
  <dc:creator>王文乐</dc:creator>
  <cp:lastModifiedBy>王文乐</cp:lastModifiedBy>
  <dcterms:modified xsi:type="dcterms:W3CDTF">2023-07-13T01:32:57Z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4C89D7DCE8534AF3B55C071A4E9C144C</vt:lpwstr>
  </property>
</Properties>
</file>