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outlineLvl w:val="0"/>
        <w:rPr>
          <w:rFonts w:ascii="微软雅黑" w:hAnsi="微软雅黑" w:eastAsia="微软雅黑" w:cs="微软雅黑"/>
          <w:b/>
          <w:color w:val="auto"/>
          <w:sz w:val="32"/>
          <w:szCs w:val="32"/>
          <w:highlight w:val="none"/>
        </w:rPr>
      </w:pPr>
      <w:bookmarkStart w:id="0" w:name="_Toc21086"/>
      <w:r>
        <w:rPr>
          <w:rFonts w:hint="eastAsia" w:ascii="微软雅黑" w:hAnsi="微软雅黑" w:eastAsia="微软雅黑" w:cs="微软雅黑"/>
          <w:b/>
          <w:color w:val="auto"/>
          <w:sz w:val="32"/>
          <w:szCs w:val="32"/>
          <w:highlight w:val="none"/>
        </w:rPr>
        <w:t>第四章  需求及技术规格</w:t>
      </w:r>
      <w:bookmarkEnd w:id="0"/>
    </w:p>
    <w:p>
      <w:pPr>
        <w:spacing w:line="340" w:lineRule="exact"/>
        <w:ind w:left="-71" w:firstLine="447" w:firstLineChars="212"/>
        <w:rPr>
          <w:rFonts w:ascii="宋体" w:hAnsi="宋体"/>
          <w:b/>
          <w:bCs/>
          <w:color w:val="auto"/>
          <w:szCs w:val="21"/>
          <w:highlight w:val="none"/>
        </w:rPr>
      </w:pPr>
    </w:p>
    <w:p>
      <w:pPr>
        <w:jc w:val="center"/>
        <w:outlineLvl w:val="1"/>
        <w:rPr>
          <w:rFonts w:ascii="微软雅黑" w:hAnsi="微软雅黑" w:eastAsia="微软雅黑" w:cs="微软雅黑"/>
          <w:b/>
          <w:color w:val="auto"/>
          <w:sz w:val="24"/>
          <w:szCs w:val="24"/>
          <w:highlight w:val="none"/>
        </w:rPr>
      </w:pPr>
      <w:bookmarkStart w:id="1" w:name="_Toc6364"/>
      <w:r>
        <w:rPr>
          <w:rFonts w:hint="eastAsia" w:ascii="微软雅黑" w:hAnsi="微软雅黑" w:eastAsia="微软雅黑" w:cs="微软雅黑"/>
          <w:b/>
          <w:color w:val="auto"/>
          <w:sz w:val="24"/>
          <w:szCs w:val="24"/>
          <w:highlight w:val="none"/>
        </w:rPr>
        <w:t>第一节  说明</w:t>
      </w:r>
      <w:bookmarkEnd w:id="1"/>
    </w:p>
    <w:p>
      <w:pPr>
        <w:spacing w:line="440" w:lineRule="exact"/>
        <w:ind w:firstLine="420" w:firstLineChars="200"/>
        <w:rPr>
          <w:rFonts w:ascii="宋体" w:hAnsi="宋体"/>
          <w:b/>
          <w:bCs/>
          <w:color w:val="auto"/>
          <w:szCs w:val="21"/>
          <w:highlight w:val="none"/>
        </w:rPr>
      </w:pPr>
      <w:r>
        <w:rPr>
          <w:rFonts w:hint="eastAsia" w:ascii="宋体" w:hAnsi="宋体"/>
          <w:color w:val="auto"/>
          <w:szCs w:val="21"/>
          <w:highlight w:val="none"/>
        </w:rPr>
        <w:t>1、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pPr>
        <w:spacing w:line="440" w:lineRule="exact"/>
        <w:ind w:firstLine="422" w:firstLineChars="200"/>
        <w:rPr>
          <w:rFonts w:ascii="宋体" w:hAnsi="宋体"/>
          <w:b/>
          <w:color w:val="auto"/>
          <w:highlight w:val="none"/>
        </w:rPr>
      </w:pPr>
      <w:r>
        <w:rPr>
          <w:rFonts w:hint="eastAsia" w:ascii="宋体" w:hAnsi="宋体"/>
          <w:b/>
          <w:color w:val="auto"/>
          <w:highlight w:val="none"/>
        </w:rPr>
        <w:t>重点说明：偏离表中“偏离度”由投标人自行判断后填写，内容仅供评委参考，</w:t>
      </w:r>
      <w:r>
        <w:rPr>
          <w:rFonts w:ascii="宋体" w:hAnsi="宋体"/>
          <w:b/>
          <w:color w:val="auto"/>
          <w:highlight w:val="none"/>
        </w:rPr>
        <w:t>评标委员会将根据</w:t>
      </w:r>
      <w:r>
        <w:rPr>
          <w:rFonts w:hint="eastAsia" w:ascii="宋体" w:hAnsi="宋体"/>
          <w:b/>
          <w:color w:val="auto"/>
          <w:highlight w:val="none"/>
        </w:rPr>
        <w:t>具体响应内容</w:t>
      </w:r>
      <w:r>
        <w:rPr>
          <w:rFonts w:ascii="宋体" w:hAnsi="宋体"/>
          <w:b/>
          <w:color w:val="auto"/>
          <w:highlight w:val="none"/>
        </w:rPr>
        <w:t>给予是否偏离的认定，并以此</w:t>
      </w:r>
      <w:r>
        <w:rPr>
          <w:rFonts w:hint="eastAsia" w:ascii="宋体" w:hAnsi="宋体"/>
          <w:b/>
          <w:color w:val="auto"/>
          <w:highlight w:val="none"/>
        </w:rPr>
        <w:t>作为</w:t>
      </w:r>
      <w:r>
        <w:rPr>
          <w:rFonts w:ascii="宋体" w:hAnsi="宋体"/>
          <w:b/>
          <w:color w:val="auto"/>
          <w:highlight w:val="none"/>
        </w:rPr>
        <w:t>最终评判</w:t>
      </w:r>
      <w:r>
        <w:rPr>
          <w:rFonts w:hint="eastAsia" w:ascii="宋体" w:hAnsi="宋体"/>
          <w:b/>
          <w:color w:val="auto"/>
          <w:szCs w:val="22"/>
          <w:highlight w:val="none"/>
        </w:rPr>
        <w:t>。</w:t>
      </w:r>
      <w:r>
        <w:rPr>
          <w:rFonts w:hint="eastAsia" w:ascii="宋体" w:hAnsi="宋体"/>
          <w:b/>
          <w:color w:val="auto"/>
          <w:highlight w:val="none"/>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本招标文件要求中，凡标有</w:t>
      </w:r>
      <w:r>
        <w:rPr>
          <w:rFonts w:hint="eastAsia" w:ascii="宋体" w:hAnsi="宋体"/>
          <w:b/>
          <w:bCs/>
          <w:color w:val="auto"/>
          <w:szCs w:val="21"/>
          <w:highlight w:val="none"/>
        </w:rPr>
        <w:t>“★”</w:t>
      </w:r>
      <w:r>
        <w:rPr>
          <w:rFonts w:ascii="宋体" w:hAnsi="宋体"/>
          <w:b/>
          <w:bCs/>
          <w:color w:val="auto"/>
          <w:szCs w:val="21"/>
          <w:highlight w:val="none"/>
        </w:rPr>
        <w:t>的地方均被视为</w:t>
      </w:r>
      <w:r>
        <w:rPr>
          <w:rFonts w:hint="eastAsia" w:ascii="宋体" w:hAnsi="宋体"/>
          <w:b/>
          <w:bCs/>
          <w:color w:val="auto"/>
          <w:szCs w:val="21"/>
          <w:highlight w:val="none"/>
        </w:rPr>
        <w:t>不可偏离条款，</w:t>
      </w:r>
      <w:r>
        <w:rPr>
          <w:rFonts w:ascii="宋体" w:hAnsi="宋体"/>
          <w:b/>
          <w:bCs/>
          <w:color w:val="auto"/>
          <w:szCs w:val="21"/>
          <w:highlight w:val="none"/>
        </w:rPr>
        <w:t>投标人要特别加以注意</w:t>
      </w:r>
      <w:r>
        <w:rPr>
          <w:rFonts w:hint="eastAsia" w:ascii="宋体" w:hAnsi="宋体"/>
          <w:b/>
          <w:bCs/>
          <w:color w:val="auto"/>
          <w:szCs w:val="21"/>
          <w:highlight w:val="none"/>
        </w:rPr>
        <w:t>并予以响应，</w:t>
      </w:r>
      <w:r>
        <w:rPr>
          <w:rFonts w:ascii="宋体" w:hAnsi="宋体"/>
          <w:b/>
          <w:bCs/>
          <w:color w:val="auto"/>
          <w:szCs w:val="21"/>
          <w:highlight w:val="none"/>
        </w:rPr>
        <w:t>否则，若有一项带</w:t>
      </w:r>
      <w:r>
        <w:rPr>
          <w:rFonts w:hint="eastAsia" w:ascii="宋体" w:hAnsi="宋体"/>
          <w:b/>
          <w:bCs/>
          <w:color w:val="auto"/>
          <w:szCs w:val="21"/>
          <w:highlight w:val="none"/>
        </w:rPr>
        <w:t>“★”</w:t>
      </w:r>
      <w:r>
        <w:rPr>
          <w:rFonts w:ascii="宋体" w:hAnsi="宋体"/>
          <w:b/>
          <w:bCs/>
          <w:color w:val="auto"/>
          <w:szCs w:val="21"/>
          <w:highlight w:val="none"/>
        </w:rPr>
        <w:t>的</w:t>
      </w:r>
      <w:r>
        <w:rPr>
          <w:rFonts w:hint="eastAsia" w:ascii="宋体" w:hAnsi="宋体"/>
          <w:b/>
          <w:bCs/>
          <w:color w:val="auto"/>
          <w:szCs w:val="21"/>
          <w:highlight w:val="none"/>
        </w:rPr>
        <w:t>要求</w:t>
      </w:r>
      <w:r>
        <w:rPr>
          <w:rFonts w:ascii="宋体" w:hAnsi="宋体"/>
          <w:b/>
          <w:bCs/>
          <w:color w:val="auto"/>
          <w:szCs w:val="21"/>
          <w:highlight w:val="none"/>
        </w:rPr>
        <w:t>未响应或不满足，将按投标无效处理</w:t>
      </w:r>
      <w:r>
        <w:rPr>
          <w:rFonts w:hint="eastAsia" w:ascii="宋体" w:hAnsi="宋体"/>
          <w:b/>
          <w:bCs/>
          <w:color w:val="auto"/>
          <w:szCs w:val="21"/>
          <w:highlight w:val="none"/>
        </w:rPr>
        <w:t>；</w:t>
      </w:r>
      <w:r>
        <w:rPr>
          <w:rFonts w:ascii="宋体" w:hAnsi="宋体"/>
          <w:b/>
          <w:bCs/>
          <w:color w:val="auto"/>
          <w:szCs w:val="21"/>
          <w:highlight w:val="none"/>
        </w:rPr>
        <w:t>凡标有</w:t>
      </w:r>
      <w:r>
        <w:rPr>
          <w:rFonts w:hint="eastAsia" w:ascii="宋体" w:hAnsi="宋体"/>
          <w:b/>
          <w:bCs/>
          <w:color w:val="auto"/>
          <w:szCs w:val="21"/>
          <w:highlight w:val="none"/>
        </w:rPr>
        <w:t xml:space="preserve"> “▲”</w:t>
      </w:r>
      <w:r>
        <w:rPr>
          <w:rFonts w:ascii="宋体" w:hAnsi="宋体"/>
          <w:b/>
          <w:bCs/>
          <w:color w:val="auto"/>
          <w:szCs w:val="21"/>
          <w:highlight w:val="none"/>
        </w:rPr>
        <w:t>的地方均被视为重要要求</w:t>
      </w:r>
      <w:r>
        <w:rPr>
          <w:rFonts w:hint="eastAsia" w:ascii="宋体" w:hAnsi="宋体"/>
          <w:b/>
          <w:bCs/>
          <w:color w:val="auto"/>
          <w:szCs w:val="21"/>
          <w:highlight w:val="none"/>
        </w:rPr>
        <w:t>，若有带“▲”的要求未响应或不满足的，将按加重扣分处理</w:t>
      </w:r>
      <w:r>
        <w:rPr>
          <w:rFonts w:ascii="宋体" w:hAnsi="宋体"/>
          <w:b/>
          <w:bCs/>
          <w:color w:val="auto"/>
          <w:szCs w:val="21"/>
          <w:highlight w:val="none"/>
        </w:rPr>
        <w:t>。</w:t>
      </w:r>
    </w:p>
    <w:p>
      <w:pPr>
        <w:spacing w:line="440" w:lineRule="exact"/>
        <w:jc w:val="center"/>
        <w:rPr>
          <w:rFonts w:ascii="宋体" w:hAnsi="宋体"/>
          <w:b/>
          <w:bCs/>
          <w:color w:val="auto"/>
          <w:szCs w:val="21"/>
          <w:highlight w:val="none"/>
        </w:rPr>
      </w:pPr>
    </w:p>
    <w:p>
      <w:pPr>
        <w:jc w:val="center"/>
        <w:outlineLvl w:val="1"/>
        <w:rPr>
          <w:rFonts w:ascii="微软雅黑" w:hAnsi="微软雅黑" w:eastAsia="微软雅黑" w:cs="微软雅黑"/>
          <w:b/>
          <w:color w:val="auto"/>
          <w:sz w:val="24"/>
          <w:szCs w:val="24"/>
          <w:highlight w:val="none"/>
        </w:rPr>
      </w:pPr>
      <w:bookmarkStart w:id="2" w:name="_Toc3685"/>
      <w:r>
        <w:rPr>
          <w:rFonts w:hint="eastAsia" w:ascii="微软雅黑" w:hAnsi="微软雅黑" w:eastAsia="微软雅黑" w:cs="微软雅黑"/>
          <w:b/>
          <w:color w:val="auto"/>
          <w:sz w:val="24"/>
          <w:szCs w:val="24"/>
          <w:highlight w:val="none"/>
        </w:rPr>
        <w:t>第二节  需求一览表</w:t>
      </w:r>
      <w:bookmarkEnd w:id="2"/>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4323"/>
        <w:gridCol w:w="787"/>
        <w:gridCol w:w="98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pct"/>
            <w:vAlign w:val="center"/>
          </w:tcPr>
          <w:p>
            <w:pPr>
              <w:jc w:val="center"/>
              <w:rPr>
                <w:b/>
                <w:color w:val="auto"/>
                <w:highlight w:val="none"/>
              </w:rPr>
            </w:pPr>
            <w:r>
              <w:rPr>
                <w:b/>
                <w:color w:val="auto"/>
                <w:highlight w:val="none"/>
              </w:rPr>
              <w:t>序号</w:t>
            </w:r>
          </w:p>
        </w:tc>
        <w:tc>
          <w:tcPr>
            <w:tcW w:w="2537" w:type="pct"/>
            <w:vAlign w:val="center"/>
          </w:tcPr>
          <w:p>
            <w:pPr>
              <w:jc w:val="center"/>
              <w:rPr>
                <w:b/>
                <w:color w:val="auto"/>
                <w:highlight w:val="none"/>
              </w:rPr>
            </w:pPr>
            <w:r>
              <w:rPr>
                <w:b/>
                <w:color w:val="auto"/>
                <w:highlight w:val="none"/>
              </w:rPr>
              <w:t>服务名称</w:t>
            </w:r>
          </w:p>
        </w:tc>
        <w:tc>
          <w:tcPr>
            <w:tcW w:w="462" w:type="pct"/>
            <w:vAlign w:val="center"/>
          </w:tcPr>
          <w:p>
            <w:pPr>
              <w:jc w:val="center"/>
              <w:rPr>
                <w:b/>
                <w:color w:val="auto"/>
                <w:highlight w:val="none"/>
              </w:rPr>
            </w:pPr>
            <w:r>
              <w:rPr>
                <w:b/>
                <w:color w:val="auto"/>
                <w:highlight w:val="none"/>
              </w:rPr>
              <w:t>数量</w:t>
            </w:r>
          </w:p>
        </w:tc>
        <w:tc>
          <w:tcPr>
            <w:tcW w:w="575" w:type="pct"/>
            <w:vAlign w:val="center"/>
          </w:tcPr>
          <w:p>
            <w:pPr>
              <w:jc w:val="center"/>
              <w:rPr>
                <w:b/>
                <w:color w:val="auto"/>
                <w:highlight w:val="none"/>
              </w:rPr>
            </w:pPr>
            <w:r>
              <w:rPr>
                <w:b/>
                <w:color w:val="auto"/>
                <w:highlight w:val="none"/>
              </w:rPr>
              <w:t>单位</w:t>
            </w:r>
          </w:p>
        </w:tc>
        <w:tc>
          <w:tcPr>
            <w:tcW w:w="1049" w:type="pct"/>
            <w:vAlign w:val="center"/>
          </w:tcPr>
          <w:p>
            <w:pPr>
              <w:jc w:val="center"/>
              <w:rPr>
                <w:rFonts w:ascii="宋体" w:hAnsi="宋体"/>
                <w:b/>
                <w:color w:val="auto"/>
                <w:highlight w:val="none"/>
              </w:rPr>
            </w:pPr>
            <w:r>
              <w:rPr>
                <w:rFonts w:hint="eastAsia"/>
                <w:b/>
                <w:color w:val="auto"/>
                <w:szCs w:val="21"/>
                <w:highlight w:val="none"/>
              </w:rPr>
              <w:t>预算控制金额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5" w:type="pct"/>
            <w:vAlign w:val="center"/>
          </w:tcPr>
          <w:p>
            <w:pPr>
              <w:jc w:val="center"/>
              <w:rPr>
                <w:rFonts w:ascii="宋体" w:hAnsi="宋体"/>
                <w:color w:val="auto"/>
                <w:highlight w:val="none"/>
              </w:rPr>
            </w:pPr>
            <w:r>
              <w:rPr>
                <w:rFonts w:ascii="宋体" w:hAnsi="宋体"/>
                <w:color w:val="auto"/>
                <w:highlight w:val="none"/>
              </w:rPr>
              <w:t>1</w:t>
            </w:r>
          </w:p>
        </w:tc>
        <w:tc>
          <w:tcPr>
            <w:tcW w:w="2537" w:type="pct"/>
            <w:vAlign w:val="center"/>
          </w:tcPr>
          <w:p>
            <w:pPr>
              <w:rPr>
                <w:rFonts w:hint="eastAsia" w:ascii="宋体" w:hAnsi="宋体" w:eastAsia="宋体" w:cs="宋体"/>
                <w:color w:val="auto"/>
                <w:highlight w:val="none"/>
                <w:lang w:eastAsia="zh-CN"/>
              </w:rPr>
            </w:pPr>
            <w:r>
              <w:rPr>
                <w:rFonts w:hint="eastAsia" w:ascii="宋体" w:hAnsi="宋体" w:cs="宋体"/>
                <w:color w:val="auto"/>
                <w:highlight w:val="none"/>
                <w:lang w:eastAsia="zh-CN"/>
              </w:rPr>
              <w:t>2023年全民助残健身服务项目</w:t>
            </w:r>
          </w:p>
        </w:tc>
        <w:tc>
          <w:tcPr>
            <w:tcW w:w="462"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75"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1049" w:type="pct"/>
            <w:vAlign w:val="center"/>
          </w:tcPr>
          <w:p>
            <w:pPr>
              <w:jc w:val="center"/>
              <w:rPr>
                <w:rFonts w:hint="eastAsia" w:ascii="宋体" w:hAnsi="宋体" w:eastAsia="宋体" w:cs="宋体"/>
                <w:color w:val="auto"/>
                <w:highlight w:val="none"/>
              </w:rPr>
            </w:pPr>
            <w:r>
              <w:rPr>
                <w:rFonts w:hint="eastAsia" w:ascii="宋体" w:hAnsi="宋体" w:cs="宋体"/>
                <w:color w:val="auto"/>
                <w:szCs w:val="21"/>
                <w:highlight w:val="none"/>
                <w:lang w:eastAsia="zh-CN"/>
              </w:rPr>
              <w:t>91.5万</w:t>
            </w:r>
            <w:r>
              <w:rPr>
                <w:rFonts w:hint="eastAsia" w:ascii="宋体" w:hAnsi="宋体" w:eastAsia="宋体" w:cs="宋体"/>
                <w:color w:val="auto"/>
                <w:szCs w:val="21"/>
                <w:highlight w:val="none"/>
              </w:rPr>
              <w:t>元</w:t>
            </w:r>
          </w:p>
        </w:tc>
      </w:tr>
    </w:tbl>
    <w:p>
      <w:pPr>
        <w:spacing w:line="340" w:lineRule="exact"/>
        <w:ind w:firstLine="422" w:firstLineChars="200"/>
        <w:rPr>
          <w:rFonts w:ascii="宋体" w:hAnsi="宋体"/>
          <w:b/>
          <w:bCs/>
          <w:color w:val="auto"/>
          <w:szCs w:val="21"/>
          <w:highlight w:val="none"/>
        </w:rPr>
      </w:pPr>
    </w:p>
    <w:p>
      <w:pPr>
        <w:jc w:val="center"/>
        <w:outlineLvl w:val="1"/>
        <w:rPr>
          <w:rFonts w:ascii="微软雅黑" w:hAnsi="微软雅黑" w:eastAsia="微软雅黑" w:cs="微软雅黑"/>
          <w:b/>
          <w:color w:val="auto"/>
          <w:sz w:val="24"/>
          <w:szCs w:val="24"/>
          <w:highlight w:val="none"/>
        </w:rPr>
      </w:pPr>
      <w:bookmarkStart w:id="3" w:name="_Toc21932"/>
      <w:r>
        <w:rPr>
          <w:rFonts w:hint="eastAsia" w:ascii="微软雅黑" w:hAnsi="微软雅黑" w:eastAsia="微软雅黑" w:cs="微软雅黑"/>
          <w:b/>
          <w:color w:val="auto"/>
          <w:sz w:val="24"/>
          <w:szCs w:val="24"/>
          <w:highlight w:val="none"/>
        </w:rPr>
        <w:t>第三节  技术需求明细</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highlight w:val="none"/>
          <w:lang w:eastAsia="zh-CN"/>
        </w:rPr>
      </w:pPr>
      <w:r>
        <w:rPr>
          <w:rFonts w:hint="eastAsia" w:ascii="宋体" w:hAnsi="宋体" w:cs="宋体"/>
          <w:b/>
          <w:bCs/>
          <w:color w:val="auto"/>
          <w:highlight w:val="none"/>
          <w:lang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康复健身体育是残疾人通过体育运动促进机能改善、增强身体素质、提高生活质量、融入社会交往的重要手段。促进残疾人康复健身是体育工作践行以人民为中心的发展思想的重要举措，是实施全民健身国家战略的组成部分。加强残疾人康复健身体育是残疾人平等享有体育权利，实现体育基本公共服务均等化的重要体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b/>
          <w:bCs/>
          <w:color w:val="auto"/>
          <w:highlight w:val="none"/>
          <w:lang w:eastAsia="zh-CN"/>
        </w:rPr>
      </w:pPr>
      <w:r>
        <w:rPr>
          <w:rFonts w:hint="eastAsia" w:ascii="宋体" w:hAnsi="宋体" w:cs="宋体"/>
          <w:b/>
          <w:bCs/>
          <w:color w:val="auto"/>
          <w:highlight w:val="none"/>
          <w:lang w:eastAsia="zh-CN"/>
        </w:rPr>
        <w:t>二、项目技术要求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b/>
          <w:bCs/>
          <w:color w:val="auto"/>
          <w:highlight w:val="none"/>
          <w:lang w:eastAsia="zh-CN"/>
        </w:rPr>
      </w:pPr>
      <w:r>
        <w:rPr>
          <w:rFonts w:hint="eastAsia" w:ascii="宋体" w:hAnsi="宋体" w:cs="宋体"/>
          <w:b/>
          <w:bCs/>
          <w:color w:val="auto"/>
          <w:highlight w:val="none"/>
          <w:lang w:eastAsia="zh-CN"/>
        </w:rPr>
        <w:t>（一）组织开展3场残疾人体育活动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1、残疾人自强健身周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每年8月8日开始组织举办，活动对象主要以肢体障碍、视力障碍、听力障碍，三类残疾人为主。活动开展内容参照202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中国残联、广东省残联相关文件策划，报市残联组宣（权保）部批准通过后执行。活动开展需至少举办一场主题活动（主场活动包含场地、活动器材、背景板横幅制作、教练工作人员薪酬、志愿者补贴、活动交通、活动用餐用水、活动纪念品等），并且提供团队指导协助全市各区（新区）残联按健身周主题开展分场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2、全国特奥日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每年7月20日后组织举办，活动对象主要以智力障碍残疾人为主。活动开展内容参照2022年中国残联、广东省残联相关文件策划，报市残联组宣（权保）部批准通过后执行。活动开展需至少举办一场主题活动（主场活动包含场地、活动器材、背景板横幅制作、教练、工作人员、志愿者、交通、医疗保险、活动用餐用水、宣传印刷、活动纪念品等），并且提供团队指导协助全市各区（新区）残联按特奥日主题开展分场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3、残疾人冰雪运动季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每年12月开始组织举办，活动对象主要面向肢体障碍、视力障碍、听力障碍、智力障碍，四类残疾人为主。活动主题围绕残疾人冰雪运动进行。活动开展内容参照202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年中国残联、广东省残联相关文件策划，报市残联组宣（权保）部批准通过后执行。活动开展主要以组织本市残疾人体验冰雪运动为主，无分场活动要求。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以上3场残疾人体育活动结束后，按市残联要求提交完整活动总结报告。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b/>
          <w:bCs/>
          <w:color w:val="auto"/>
          <w:highlight w:val="none"/>
          <w:lang w:eastAsia="zh-CN"/>
        </w:rPr>
      </w:pPr>
      <w:r>
        <w:rPr>
          <w:rFonts w:hint="eastAsia" w:ascii="宋体" w:hAnsi="宋体" w:cs="宋体"/>
          <w:b/>
          <w:bCs/>
          <w:color w:val="auto"/>
          <w:highlight w:val="none"/>
          <w:lang w:eastAsia="zh-CN"/>
        </w:rPr>
        <w:t>（二）面向全市开展</w:t>
      </w:r>
      <w:r>
        <w:rPr>
          <w:rFonts w:hint="eastAsia" w:ascii="宋体" w:hAnsi="宋体" w:cs="宋体"/>
          <w:b/>
          <w:bCs/>
          <w:color w:val="auto"/>
          <w:highlight w:val="none"/>
          <w:lang w:val="en-US" w:eastAsia="zh-CN"/>
        </w:rPr>
        <w:t>120</w:t>
      </w:r>
      <w:r>
        <w:rPr>
          <w:rFonts w:hint="eastAsia" w:ascii="宋体" w:hAnsi="宋体" w:cs="宋体"/>
          <w:b/>
          <w:bCs/>
          <w:color w:val="auto"/>
          <w:highlight w:val="none"/>
          <w:lang w:eastAsia="zh-CN"/>
        </w:rPr>
        <w:t>堂课时残疾人康复健身指导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残疾人体育健身活动指导100堂课时，根据全市各区（新区）残疾人数分配指导课时，福田、罗湖、南山、龙岗、宝安、龙华各12堂课时。盐田、坪山、光明、大鹏各7堂课时。以上残疾人康复健身指导根据各区（新区）实际情况灵活安排上课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2、根据需求为各区（新区）提供助残健身指导员培训20堂课时。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以上残疾人体育健身活动指导</w:t>
      </w:r>
      <w:r>
        <w:rPr>
          <w:rFonts w:hint="eastAsia" w:ascii="宋体" w:hAnsi="宋体" w:cs="宋体"/>
          <w:color w:val="auto"/>
          <w:highlight w:val="none"/>
          <w:lang w:val="en-US" w:eastAsia="zh-CN"/>
        </w:rPr>
        <w:t>及</w:t>
      </w:r>
      <w:r>
        <w:rPr>
          <w:rFonts w:hint="eastAsia" w:ascii="宋体" w:hAnsi="宋体" w:cs="宋体"/>
          <w:color w:val="auto"/>
          <w:highlight w:val="none"/>
          <w:lang w:eastAsia="zh-CN"/>
        </w:rPr>
        <w:t>助残健身指导员培训包含讲师和工作人员薪酬、交通费、用水餐补、指导器材搬运租赁等。每场指导培训结束后需提供反馈表及人员签到表。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eastAsia="zh-CN"/>
        </w:rPr>
        <w:t>（三）为各区（新区）残联提供残疾人体育基地建设指导不少于20次，</w:t>
      </w:r>
      <w:r>
        <w:rPr>
          <w:rFonts w:hint="eastAsia" w:ascii="宋体" w:hAnsi="宋体" w:cs="宋体"/>
          <w:b/>
          <w:bCs/>
          <w:color w:val="auto"/>
          <w:highlight w:val="none"/>
          <w:lang w:val="en-US" w:eastAsia="zh-CN"/>
        </w:rPr>
        <w:t>每次不少于3课时。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为加强各区（新区）各体育项目训练运营管理，</w:t>
      </w:r>
      <w:r>
        <w:rPr>
          <w:rFonts w:hint="eastAsia" w:ascii="宋体" w:hAnsi="宋体" w:cs="宋体"/>
          <w:color w:val="auto"/>
          <w:highlight w:val="none"/>
          <w:lang w:eastAsia="zh-CN"/>
        </w:rPr>
        <w:t>根据需求为为各区（新区）残联提供残疾人体育基地建设指导</w:t>
      </w:r>
      <w:r>
        <w:rPr>
          <w:rFonts w:hint="eastAsia" w:ascii="宋体" w:hAnsi="宋体" w:cs="宋体"/>
          <w:color w:val="auto"/>
          <w:highlight w:val="none"/>
          <w:lang w:val="en-US" w:eastAsia="zh-CN"/>
        </w:rPr>
        <w:t>、基地运营、运动员管理等不少于20次，每次不少于3课时。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b/>
          <w:bCs/>
          <w:color w:val="auto"/>
          <w:highlight w:val="none"/>
          <w:lang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四</w:t>
      </w:r>
      <w:r>
        <w:rPr>
          <w:rFonts w:hint="eastAsia" w:ascii="宋体" w:hAnsi="宋体" w:cs="宋体"/>
          <w:b/>
          <w:bCs/>
          <w:color w:val="auto"/>
          <w:highlight w:val="none"/>
          <w:lang w:eastAsia="zh-CN"/>
        </w:rPr>
        <w:t>）组建团队协助市残联开展相关残疾人体育活动工作，具体如下：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1、残疾人体育活动咨询及指导服务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2、制定残疾运动员训练计划，建立档案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3、全市残疾运动员选拔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4、残疾运动员注册、分级工作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5、完善跟进全市残疾人训练基地日常工作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6、各类残疾人体育活动筹备、报名等工作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7、残疾人训练基地各项体育活动后勤工作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8、协助市残联各项残疾人体育交流学习工作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服务团队需至少3人具备初级助残健身指导员证或以上相关资质，并有符合要求的相关专业和经验开展工作。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FF"/>
          <w:szCs w:val="21"/>
          <w:highlight w:val="none"/>
        </w:rPr>
      </w:pPr>
    </w:p>
    <w:p>
      <w:pPr>
        <w:jc w:val="center"/>
        <w:outlineLvl w:val="1"/>
        <w:rPr>
          <w:rFonts w:ascii="微软雅黑" w:hAnsi="微软雅黑" w:eastAsia="微软雅黑" w:cs="微软雅黑"/>
          <w:b/>
          <w:color w:val="auto"/>
          <w:sz w:val="24"/>
          <w:szCs w:val="24"/>
          <w:highlight w:val="none"/>
        </w:rPr>
      </w:pPr>
      <w:bookmarkStart w:id="4" w:name="_Toc16219"/>
      <w:r>
        <w:rPr>
          <w:rFonts w:hint="eastAsia" w:ascii="微软雅黑" w:hAnsi="微软雅黑" w:eastAsia="微软雅黑" w:cs="微软雅黑"/>
          <w:b/>
          <w:color w:val="auto"/>
          <w:sz w:val="24"/>
          <w:szCs w:val="24"/>
          <w:highlight w:val="none"/>
        </w:rPr>
        <w:t>第四节  商务需求明细</w:t>
      </w:r>
      <w:bookmarkEnd w:id="4"/>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val="0"/>
          <w:bCs w:val="0"/>
          <w:color w:val="auto"/>
          <w:szCs w:val="21"/>
          <w:highlight w:val="none"/>
        </w:rPr>
      </w:pPr>
      <w:r>
        <w:rPr>
          <w:rFonts w:hint="eastAsia" w:ascii="宋体" w:hAnsi="宋体"/>
          <w:b/>
          <w:bCs/>
          <w:color w:val="auto"/>
          <w:szCs w:val="21"/>
          <w:highlight w:val="none"/>
          <w:lang w:eastAsia="zh-CN"/>
        </w:rPr>
        <w:t>一、</w:t>
      </w:r>
      <w:r>
        <w:rPr>
          <w:rFonts w:hint="eastAsia" w:ascii="宋体" w:hAnsi="宋体"/>
          <w:b/>
          <w:bCs/>
          <w:color w:val="auto"/>
          <w:szCs w:val="21"/>
          <w:highlight w:val="none"/>
        </w:rPr>
        <w:t>服务期限：</w:t>
      </w:r>
      <w:r>
        <w:rPr>
          <w:rFonts w:hint="eastAsia" w:ascii="宋体" w:hAnsi="宋体"/>
          <w:b w:val="0"/>
          <w:bCs w:val="0"/>
          <w:color w:val="auto"/>
          <w:szCs w:val="21"/>
          <w:highlight w:val="none"/>
        </w:rPr>
        <w:t>此项目为长期服务项目，可以续签，本服务期为一年，服务期满后，甲方根据乙方履约情况研究确定是否续签，但最长不超过3年。</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val="0"/>
          <w:bCs w:val="0"/>
          <w:color w:val="auto"/>
          <w:szCs w:val="21"/>
          <w:highlight w:val="none"/>
        </w:rPr>
      </w:pPr>
      <w:r>
        <w:rPr>
          <w:rFonts w:hint="eastAsia" w:ascii="宋体" w:hAnsi="宋体"/>
          <w:b/>
          <w:bCs/>
          <w:color w:val="auto"/>
          <w:szCs w:val="21"/>
          <w:highlight w:val="none"/>
          <w:lang w:eastAsia="zh-CN"/>
        </w:rPr>
        <w:t>二、</w:t>
      </w:r>
      <w:r>
        <w:rPr>
          <w:rFonts w:hint="eastAsia" w:ascii="宋体" w:hAnsi="宋体"/>
          <w:b/>
          <w:bCs/>
          <w:color w:val="auto"/>
          <w:szCs w:val="21"/>
          <w:highlight w:val="none"/>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1.该项目以人民币结算，合同签定后30个工作日内，支付合同总价款70%的款项；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2.项目完成并验收合格后，30个工作日内拨付剩余30%项目尾款经费。</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三、</w:t>
      </w:r>
      <w:r>
        <w:rPr>
          <w:rFonts w:hint="eastAsia" w:ascii="宋体" w:hAnsi="宋体"/>
          <w:b/>
          <w:bCs/>
          <w:color w:val="auto"/>
          <w:szCs w:val="21"/>
          <w:highlight w:val="none"/>
        </w:rPr>
        <w:t>质量考核验收标准及违约金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1.质量考核验收标准：以合同签订为准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2.违约金：以合同签订为准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eastAsia="zh-CN"/>
        </w:rPr>
        <w:t>四</w:t>
      </w:r>
      <w:r>
        <w:rPr>
          <w:rFonts w:hint="eastAsia" w:ascii="宋体" w:hAnsi="宋体"/>
          <w:b/>
          <w:bCs/>
          <w:color w:val="auto"/>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3.投标人的投标报价，应是本项目招标范围和招标文件及合同条款上所列的各项内容中所述的全部，不得以任何理由予以重复，并以投标人在投标文件中提出的综合单价或总价为依据。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4.除非</w:t>
      </w:r>
      <w:r>
        <w:rPr>
          <w:rFonts w:hint="eastAsia" w:ascii="宋体" w:hAnsi="宋体"/>
          <w:b w:val="0"/>
          <w:bCs w:val="0"/>
          <w:color w:val="auto"/>
          <w:szCs w:val="21"/>
          <w:highlight w:val="none"/>
          <w:lang w:eastAsia="zh-CN"/>
        </w:rPr>
        <w:t>招标代理</w:t>
      </w:r>
      <w:r>
        <w:rPr>
          <w:rFonts w:hint="eastAsia" w:ascii="宋体" w:hAnsi="宋体"/>
          <w:b w:val="0"/>
          <w:bCs w:val="0"/>
          <w:color w:val="auto"/>
          <w:szCs w:val="21"/>
          <w:highlight w:val="none"/>
        </w:rPr>
        <w:t>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5.投标人应充分了解项目的位置、情况、道路及任何其它足以影响投标报价的情况，任何因忽视或误解项目情况而导致的索赔或服务期限延长申请将不获批准。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rPr>
        <w:t>6.投标人不得期望通过索赔等方式获取补偿，否则，除可能遭到拒绝外，还可能将被作为不良行为记录在案，并可能影响其以后参加政府采购的项目投标。各投标人在投标报价时，应充分考虑投标报价的风险。</w:t>
      </w:r>
    </w:p>
    <w:p>
      <w:pPr>
        <w:jc w:val="center"/>
        <w:outlineLvl w:val="1"/>
        <w:rPr>
          <w:rFonts w:ascii="微软雅黑" w:hAnsi="微软雅黑" w:eastAsia="微软雅黑" w:cs="微软雅黑"/>
          <w:b/>
          <w:bCs/>
          <w:caps/>
          <w:color w:val="auto"/>
          <w:sz w:val="24"/>
          <w:szCs w:val="24"/>
          <w:highlight w:val="none"/>
        </w:rPr>
      </w:pPr>
      <w:bookmarkStart w:id="5" w:name="_Toc24115"/>
      <w:r>
        <w:rPr>
          <w:rFonts w:hint="eastAsia" w:ascii="微软雅黑" w:hAnsi="微软雅黑" w:eastAsia="微软雅黑" w:cs="微软雅黑"/>
          <w:b/>
          <w:bCs/>
          <w:caps/>
          <w:color w:val="auto"/>
          <w:sz w:val="24"/>
          <w:szCs w:val="24"/>
          <w:highlight w:val="none"/>
        </w:rPr>
        <w:t>第五节  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aps/>
          <w:color w:val="auto"/>
          <w:sz w:val="24"/>
          <w:szCs w:val="24"/>
          <w:highlight w:val="none"/>
        </w:rPr>
        <w:t>否决性条款摘要</w:t>
      </w:r>
      <w:bookmarkEnd w:id="5"/>
    </w:p>
    <w:p>
      <w:pPr>
        <w:spacing w:line="440" w:lineRule="exact"/>
        <w:ind w:firstLine="422" w:firstLineChars="200"/>
        <w:rPr>
          <w:rFonts w:ascii="宋体" w:hAnsi="宋体"/>
          <w:b/>
          <w:color w:val="auto"/>
          <w:szCs w:val="21"/>
          <w:highlight w:val="none"/>
        </w:rPr>
      </w:pPr>
      <w:r>
        <w:rPr>
          <w:rFonts w:ascii="宋体" w:hAnsi="宋体"/>
          <w:b/>
          <w:color w:val="auto"/>
          <w:highlight w:val="none"/>
        </w:rPr>
        <w:t>1、</w:t>
      </w:r>
      <w:r>
        <w:rPr>
          <w:rFonts w:ascii="宋体" w:hAnsi="宋体"/>
          <w:b/>
          <w:color w:val="auto"/>
          <w:szCs w:val="21"/>
          <w:highlight w:val="none"/>
        </w:rPr>
        <w:t>投标文件有下列情形之一的，不予受理：</w:t>
      </w:r>
    </w:p>
    <w:p>
      <w:pPr>
        <w:spacing w:line="440" w:lineRule="exact"/>
        <w:ind w:firstLine="420" w:firstLineChars="200"/>
        <w:rPr>
          <w:rFonts w:ascii="宋体" w:hAnsi="宋体"/>
          <w:color w:val="auto"/>
          <w:szCs w:val="21"/>
          <w:highlight w:val="none"/>
        </w:rPr>
      </w:pPr>
      <w:r>
        <w:rPr>
          <w:rFonts w:ascii="宋体" w:hAnsi="宋体"/>
          <w:color w:val="auto"/>
          <w:highlight w:val="none"/>
        </w:rPr>
        <w:t xml:space="preserve">1.1  </w:t>
      </w:r>
      <w:r>
        <w:rPr>
          <w:rFonts w:ascii="宋体" w:hAnsi="宋体"/>
          <w:color w:val="auto"/>
          <w:szCs w:val="21"/>
          <w:highlight w:val="none"/>
        </w:rPr>
        <w:t>在投标截止时间以后送达的，或者未送达指定地点的；</w:t>
      </w:r>
    </w:p>
    <w:p>
      <w:pPr>
        <w:spacing w:line="440" w:lineRule="exact"/>
        <w:ind w:firstLine="420" w:firstLineChars="200"/>
        <w:rPr>
          <w:rFonts w:ascii="宋体" w:hAnsi="宋体"/>
          <w:color w:val="auto"/>
          <w:highlight w:val="none"/>
        </w:rPr>
      </w:pPr>
      <w:r>
        <w:rPr>
          <w:rFonts w:ascii="宋体" w:hAnsi="宋体"/>
          <w:color w:val="auto"/>
          <w:highlight w:val="none"/>
        </w:rPr>
        <w:t xml:space="preserve">1.2  </w:t>
      </w:r>
      <w:r>
        <w:rPr>
          <w:rFonts w:hint="eastAsia" w:ascii="宋体" w:hAnsi="宋体"/>
          <w:color w:val="auto"/>
          <w:highlight w:val="none"/>
        </w:rPr>
        <w:t>投标文件未密封的；</w:t>
      </w:r>
    </w:p>
    <w:p>
      <w:pPr>
        <w:spacing w:line="440" w:lineRule="exact"/>
        <w:ind w:firstLine="420" w:firstLineChars="200"/>
        <w:rPr>
          <w:rFonts w:ascii="宋体" w:hAnsi="宋体"/>
          <w:b/>
          <w:color w:val="auto"/>
          <w:szCs w:val="21"/>
          <w:highlight w:val="none"/>
        </w:rPr>
      </w:pPr>
      <w:r>
        <w:rPr>
          <w:rFonts w:hint="eastAsia" w:ascii="宋体" w:hAnsi="宋体"/>
          <w:color w:val="auto"/>
          <w:highlight w:val="none"/>
        </w:rPr>
        <w:t xml:space="preserve">1.3  </w:t>
      </w:r>
      <w:r>
        <w:rPr>
          <w:rFonts w:ascii="宋体" w:hAnsi="宋体"/>
          <w:color w:val="auto"/>
          <w:szCs w:val="21"/>
          <w:highlight w:val="none"/>
        </w:rPr>
        <w:t>投标人的名称与购买招标文件时登记的不一致的。</w:t>
      </w:r>
    </w:p>
    <w:p>
      <w:pPr>
        <w:spacing w:line="440" w:lineRule="exact"/>
        <w:ind w:firstLine="422" w:firstLineChars="200"/>
        <w:rPr>
          <w:rFonts w:ascii="宋体" w:hAnsi="宋体"/>
          <w:b/>
          <w:color w:val="auto"/>
          <w:szCs w:val="21"/>
          <w:highlight w:val="none"/>
        </w:rPr>
      </w:pPr>
      <w:r>
        <w:rPr>
          <w:rFonts w:ascii="宋体" w:hAnsi="宋体"/>
          <w:b/>
          <w:color w:val="auto"/>
          <w:highlight w:val="none"/>
        </w:rPr>
        <w:t>2</w:t>
      </w:r>
      <w:r>
        <w:rPr>
          <w:rFonts w:hint="eastAsia" w:ascii="宋体" w:hAnsi="宋体"/>
          <w:b/>
          <w:color w:val="auto"/>
          <w:highlight w:val="none"/>
        </w:rPr>
        <w:t>、</w:t>
      </w:r>
      <w:r>
        <w:rPr>
          <w:rFonts w:ascii="宋体" w:hAnsi="宋体"/>
          <w:b/>
          <w:color w:val="auto"/>
          <w:szCs w:val="21"/>
          <w:highlight w:val="none"/>
        </w:rPr>
        <w:t>投标文件有下列</w:t>
      </w:r>
      <w:r>
        <w:rPr>
          <w:rFonts w:hint="eastAsia" w:ascii="宋体" w:hAnsi="宋体"/>
          <w:b/>
          <w:color w:val="auto"/>
          <w:szCs w:val="21"/>
          <w:highlight w:val="none"/>
        </w:rPr>
        <w:t>情形之一的，按无效标处理：</w:t>
      </w:r>
    </w:p>
    <w:p>
      <w:pPr>
        <w:spacing w:line="440" w:lineRule="exact"/>
        <w:ind w:firstLine="420" w:firstLineChars="200"/>
        <w:rPr>
          <w:rFonts w:ascii="宋体" w:hAnsi="宋体"/>
          <w:color w:val="auto"/>
          <w:szCs w:val="21"/>
          <w:highlight w:val="none"/>
        </w:rPr>
      </w:pPr>
      <w:r>
        <w:rPr>
          <w:rFonts w:hint="eastAsia" w:ascii="宋体" w:hAnsi="宋体"/>
          <w:color w:val="auto"/>
          <w:highlight w:val="none"/>
        </w:rPr>
        <w:t xml:space="preserve">2.1  </w:t>
      </w:r>
      <w:r>
        <w:rPr>
          <w:rFonts w:hint="eastAsia" w:ascii="宋体" w:hAnsi="宋体"/>
          <w:color w:val="auto"/>
          <w:szCs w:val="21"/>
          <w:highlight w:val="none"/>
        </w:rPr>
        <w:t>投标人未按照招标文件的要求提供投标保证金的；</w:t>
      </w:r>
      <w:r>
        <w:rPr>
          <w:rFonts w:ascii="宋体" w:hAnsi="宋体"/>
          <w:color w:val="auto"/>
          <w:szCs w:val="21"/>
          <w:highlight w:val="none"/>
        </w:rPr>
        <w:t xml:space="preserve"> </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2.2  投标文件无法定代表人签字或盖章，或签字人无法定代表人有效授权委托书原件的；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2.3  投标人资格条件不符合国家有关规定和招标文件要求；</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2.4  投标总价或分项报价超过预算控制金额的；</w:t>
      </w:r>
      <w:r>
        <w:rPr>
          <w:rFonts w:ascii="宋体" w:hAnsi="宋体"/>
          <w:color w:val="auto"/>
          <w:szCs w:val="21"/>
          <w:highlight w:val="none"/>
        </w:rPr>
        <w:t xml:space="preserve"> </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2.5  开标一览表出现无报价或报价为零或有选择性报价的；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2.6  </w:t>
      </w:r>
      <w:r>
        <w:rPr>
          <w:rFonts w:hint="eastAsia" w:ascii="宋体" w:hAnsi="宋体"/>
          <w:color w:val="auto"/>
          <w:spacing w:val="-2"/>
          <w:szCs w:val="21"/>
          <w:highlight w:val="none"/>
        </w:rPr>
        <w:t>投标人以他人的名义投标、串通投标、以行贿手段谋取中标或者以其他弄虚作假方式投标；</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2.7  </w:t>
      </w:r>
      <w:r>
        <w:rPr>
          <w:rFonts w:hint="eastAsia" w:ascii="宋体" w:hAnsi="宋体"/>
          <w:color w:val="auto"/>
          <w:spacing w:val="-2"/>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highlight w:val="none"/>
        </w:rPr>
        <w:t>；</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2.8  投标人拒不按照要求对投标文件进行澄清、说明或者补正的；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2.9  文件的关键内容字迹模糊、无法辨认的；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2.10  投标函未按规定填写的；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2.11  投标有效期不足的；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2.12  </w:t>
      </w:r>
      <w:r>
        <w:rPr>
          <w:rFonts w:hint="eastAsia" w:ascii="宋体" w:hAnsi="宋体"/>
          <w:color w:val="auto"/>
          <w:spacing w:val="-6"/>
          <w:szCs w:val="21"/>
          <w:highlight w:val="none"/>
        </w:rPr>
        <w:t>投标人的投标未能在实质上响应招标文件提出的所有实质性要求和条件（不可偏离条款）的；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2.13  </w:t>
      </w:r>
      <w:r>
        <w:rPr>
          <w:rFonts w:ascii="宋体" w:hAnsi="宋体"/>
          <w:color w:val="auto"/>
          <w:szCs w:val="21"/>
          <w:highlight w:val="none"/>
        </w:rPr>
        <w:t>投标报价有严重缺漏项目的</w:t>
      </w:r>
      <w:r>
        <w:rPr>
          <w:rFonts w:hint="eastAsia" w:ascii="宋体" w:hAnsi="宋体"/>
          <w:color w:val="auto"/>
          <w:szCs w:val="21"/>
          <w:highlight w:val="none"/>
        </w:rPr>
        <w:t>；</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2.14  联合体投标未附联合体各方共同投标协议的；联合体成员</w:t>
      </w:r>
      <w:r>
        <w:rPr>
          <w:rFonts w:ascii="宋体" w:hAnsi="宋体"/>
          <w:color w:val="auto"/>
          <w:szCs w:val="21"/>
          <w:highlight w:val="none"/>
        </w:rPr>
        <w:t>再以自己名义单独投标，</w:t>
      </w:r>
      <w:r>
        <w:rPr>
          <w:rFonts w:hint="eastAsia" w:ascii="宋体" w:hAnsi="宋体"/>
          <w:color w:val="auto"/>
          <w:szCs w:val="21"/>
          <w:highlight w:val="none"/>
        </w:rPr>
        <w:t>及</w:t>
      </w:r>
      <w:r>
        <w:rPr>
          <w:rFonts w:ascii="宋体" w:hAnsi="宋体"/>
          <w:color w:val="auto"/>
          <w:szCs w:val="21"/>
          <w:highlight w:val="none"/>
        </w:rPr>
        <w:t>组成或参加其他联合体在同一项目中投标</w:t>
      </w:r>
      <w:r>
        <w:rPr>
          <w:rFonts w:hint="eastAsia" w:ascii="宋体" w:hAnsi="宋体"/>
          <w:color w:val="auto"/>
          <w:szCs w:val="21"/>
          <w:highlight w:val="none"/>
        </w:rPr>
        <w:t>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2.15  </w:t>
      </w:r>
      <w:r>
        <w:rPr>
          <w:rFonts w:ascii="宋体" w:hAnsi="宋体"/>
          <w:color w:val="auto"/>
          <w:szCs w:val="21"/>
          <w:highlight w:val="none"/>
        </w:rPr>
        <w:t>投标人递交两份或多份内容不同</w:t>
      </w:r>
      <w:r>
        <w:rPr>
          <w:rFonts w:hint="eastAsia" w:ascii="宋体" w:hAnsi="宋体"/>
          <w:color w:val="auto"/>
          <w:szCs w:val="21"/>
          <w:highlight w:val="none"/>
        </w:rPr>
        <w:t>投标方案（</w:t>
      </w:r>
      <w:r>
        <w:rPr>
          <w:rFonts w:ascii="宋体" w:hAnsi="宋体"/>
          <w:color w:val="auto"/>
          <w:szCs w:val="21"/>
          <w:highlight w:val="none"/>
        </w:rPr>
        <w:t>招标文件规定提交备选投标方案的除外</w:t>
      </w:r>
      <w:r>
        <w:rPr>
          <w:rFonts w:hint="eastAsia" w:ascii="宋体" w:hAnsi="宋体"/>
          <w:color w:val="auto"/>
          <w:szCs w:val="21"/>
          <w:highlight w:val="none"/>
        </w:rPr>
        <w:t>）</w:t>
      </w:r>
      <w:r>
        <w:rPr>
          <w:rFonts w:ascii="宋体" w:hAnsi="宋体"/>
          <w:color w:val="auto"/>
          <w:szCs w:val="21"/>
          <w:highlight w:val="none"/>
        </w:rPr>
        <w:t>；</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2.16  投标文件只对</w:t>
      </w:r>
      <w:r>
        <w:rPr>
          <w:rFonts w:ascii="宋体" w:hAnsi="宋体"/>
          <w:color w:val="auto"/>
          <w:szCs w:val="21"/>
          <w:highlight w:val="none"/>
        </w:rPr>
        <w:t>同一</w:t>
      </w:r>
      <w:r>
        <w:rPr>
          <w:rFonts w:hint="eastAsia" w:ascii="宋体" w:hAnsi="宋体"/>
          <w:color w:val="auto"/>
          <w:szCs w:val="21"/>
          <w:highlight w:val="none"/>
        </w:rPr>
        <w:t>项目</w:t>
      </w:r>
      <w:r>
        <w:rPr>
          <w:rFonts w:ascii="宋体" w:hAnsi="宋体"/>
          <w:color w:val="auto"/>
          <w:szCs w:val="21"/>
          <w:highlight w:val="none"/>
        </w:rPr>
        <w:t>包中的</w:t>
      </w:r>
      <w:r>
        <w:rPr>
          <w:rFonts w:hint="eastAsia" w:ascii="宋体" w:hAnsi="宋体"/>
          <w:color w:val="auto"/>
          <w:szCs w:val="21"/>
          <w:highlight w:val="none"/>
        </w:rPr>
        <w:t>部分</w:t>
      </w:r>
      <w:r>
        <w:rPr>
          <w:rFonts w:ascii="宋体" w:hAnsi="宋体"/>
          <w:color w:val="auto"/>
          <w:szCs w:val="21"/>
          <w:highlight w:val="none"/>
        </w:rPr>
        <w:t>内容</w:t>
      </w:r>
      <w:r>
        <w:rPr>
          <w:rFonts w:hint="eastAsia" w:ascii="宋体" w:hAnsi="宋体"/>
          <w:color w:val="auto"/>
          <w:szCs w:val="21"/>
          <w:highlight w:val="none"/>
        </w:rPr>
        <w:t>投标，或把</w:t>
      </w:r>
      <w:r>
        <w:rPr>
          <w:rFonts w:ascii="宋体" w:hAnsi="宋体"/>
          <w:color w:val="auto"/>
          <w:szCs w:val="21"/>
          <w:highlight w:val="none"/>
        </w:rPr>
        <w:t>同一</w:t>
      </w:r>
      <w:r>
        <w:rPr>
          <w:rFonts w:hint="eastAsia" w:ascii="宋体" w:hAnsi="宋体"/>
          <w:color w:val="auto"/>
          <w:szCs w:val="21"/>
          <w:highlight w:val="none"/>
        </w:rPr>
        <w:t>项目</w:t>
      </w:r>
      <w:r>
        <w:rPr>
          <w:rFonts w:ascii="宋体" w:hAnsi="宋体"/>
          <w:color w:val="auto"/>
          <w:szCs w:val="21"/>
          <w:highlight w:val="none"/>
        </w:rPr>
        <w:t>包中</w:t>
      </w:r>
      <w:r>
        <w:rPr>
          <w:rFonts w:hint="eastAsia" w:ascii="宋体" w:hAnsi="宋体"/>
          <w:color w:val="auto"/>
          <w:szCs w:val="21"/>
          <w:highlight w:val="none"/>
        </w:rPr>
        <w:t>的内容拆开的投标；</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2.17  评标委员会根据招标文件的规定对投标文件的计算错误进行修正，投标人不接受修正后的投标报价的；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2.18  投标文件符合法律、法规及</w:t>
      </w:r>
      <w:r>
        <w:rPr>
          <w:rFonts w:hint="eastAsia" w:ascii="宋体" w:hAnsi="宋体"/>
          <w:color w:val="auto"/>
          <w:highlight w:val="none"/>
        </w:rPr>
        <w:t>招标文件中规定的其他否决因素的。</w:t>
      </w:r>
    </w:p>
    <w:p>
      <w:pPr>
        <w:spacing w:line="440" w:lineRule="exact"/>
        <w:jc w:val="center"/>
        <w:rPr>
          <w:rFonts w:ascii="黑体" w:hAnsi="宋体" w:eastAsia="黑体"/>
          <w:bCs/>
          <w:color w:val="auto"/>
          <w:sz w:val="24"/>
          <w:szCs w:val="24"/>
          <w:highlight w:val="none"/>
        </w:rPr>
      </w:pPr>
    </w:p>
    <w:p>
      <w:pPr>
        <w:jc w:val="center"/>
        <w:outlineLvl w:val="1"/>
        <w:rPr>
          <w:rFonts w:ascii="微软雅黑" w:hAnsi="微软雅黑" w:eastAsia="微软雅黑" w:cs="微软雅黑"/>
          <w:b/>
          <w:color w:val="auto"/>
          <w:sz w:val="24"/>
          <w:szCs w:val="24"/>
          <w:highlight w:val="none"/>
        </w:rPr>
      </w:pPr>
      <w:bookmarkStart w:id="6" w:name="_Toc24239"/>
      <w:r>
        <w:rPr>
          <w:rFonts w:hint="eastAsia" w:ascii="微软雅黑" w:hAnsi="微软雅黑" w:eastAsia="微软雅黑" w:cs="微软雅黑"/>
          <w:b/>
          <w:color w:val="auto"/>
          <w:sz w:val="24"/>
          <w:szCs w:val="24"/>
          <w:highlight w:val="none"/>
        </w:rPr>
        <w:t>第六节  评标方法及程序</w:t>
      </w:r>
      <w:bookmarkEnd w:id="6"/>
    </w:p>
    <w:p>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一、本项目评标及定标方法</w:t>
      </w:r>
    </w:p>
    <w:tbl>
      <w:tblPr>
        <w:tblStyle w:val="4"/>
        <w:tblW w:w="499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1635"/>
        <w:gridCol w:w="61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424" w:type="pct"/>
            <w:vAlign w:val="center"/>
          </w:tcPr>
          <w:p>
            <w:pPr>
              <w:spacing w:line="440" w:lineRule="exact"/>
              <w:jc w:val="center"/>
              <w:rPr>
                <w:rFonts w:ascii="宋体" w:hAnsi="宋体" w:eastAsiaTheme="minorEastAsia" w:cstheme="minorBidi"/>
                <w:b/>
                <w:bCs/>
                <w:color w:val="auto"/>
                <w:szCs w:val="21"/>
                <w:highlight w:val="none"/>
              </w:rPr>
            </w:pPr>
            <w:r>
              <w:rPr>
                <w:rFonts w:hint="eastAsia" w:ascii="宋体" w:hAnsi="宋体" w:eastAsiaTheme="minorEastAsia" w:cstheme="minorBidi"/>
                <w:b/>
                <w:bCs/>
                <w:color w:val="auto"/>
                <w:szCs w:val="21"/>
                <w:highlight w:val="none"/>
              </w:rPr>
              <w:t>序号</w:t>
            </w:r>
          </w:p>
        </w:tc>
        <w:tc>
          <w:tcPr>
            <w:tcW w:w="959" w:type="pct"/>
            <w:vAlign w:val="center"/>
          </w:tcPr>
          <w:p>
            <w:pPr>
              <w:spacing w:line="440" w:lineRule="exact"/>
              <w:jc w:val="center"/>
              <w:rPr>
                <w:rFonts w:ascii="宋体" w:hAnsi="宋体" w:eastAsiaTheme="minorEastAsia" w:cstheme="minorBidi"/>
                <w:b/>
                <w:bCs/>
                <w:color w:val="auto"/>
                <w:szCs w:val="21"/>
                <w:highlight w:val="none"/>
              </w:rPr>
            </w:pPr>
            <w:r>
              <w:rPr>
                <w:rFonts w:hint="eastAsia" w:ascii="宋体" w:hAnsi="宋体" w:eastAsiaTheme="minorEastAsia" w:cstheme="minorBidi"/>
                <w:b/>
                <w:bCs/>
                <w:color w:val="auto"/>
                <w:szCs w:val="21"/>
                <w:highlight w:val="none"/>
              </w:rPr>
              <w:t>项目</w:t>
            </w:r>
          </w:p>
        </w:tc>
        <w:tc>
          <w:tcPr>
            <w:tcW w:w="3616" w:type="pct"/>
            <w:vAlign w:val="center"/>
          </w:tcPr>
          <w:p>
            <w:pPr>
              <w:spacing w:line="440" w:lineRule="exact"/>
              <w:jc w:val="center"/>
              <w:rPr>
                <w:rFonts w:ascii="宋体" w:hAnsi="宋体" w:eastAsiaTheme="minorEastAsia" w:cstheme="minorBidi"/>
                <w:b/>
                <w:bCs/>
                <w:color w:val="auto"/>
                <w:szCs w:val="21"/>
                <w:highlight w:val="none"/>
              </w:rPr>
            </w:pPr>
            <w:r>
              <w:rPr>
                <w:rFonts w:hint="eastAsia" w:ascii="宋体" w:hAnsi="宋体" w:eastAsiaTheme="minorEastAsia" w:cstheme="minorBidi"/>
                <w:b/>
                <w:bCs/>
                <w:color w:val="auto"/>
                <w:szCs w:val="21"/>
                <w:highlight w:val="none"/>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24" w:type="pct"/>
            <w:vAlign w:val="center"/>
          </w:tcPr>
          <w:p>
            <w:pPr>
              <w:spacing w:line="440" w:lineRule="exact"/>
              <w:jc w:val="center"/>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1</w:t>
            </w:r>
          </w:p>
        </w:tc>
        <w:tc>
          <w:tcPr>
            <w:tcW w:w="959" w:type="pct"/>
            <w:vAlign w:val="center"/>
          </w:tcPr>
          <w:p>
            <w:pPr>
              <w:spacing w:line="440" w:lineRule="exact"/>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定标方式</w:t>
            </w:r>
          </w:p>
        </w:tc>
        <w:tc>
          <w:tcPr>
            <w:tcW w:w="3616" w:type="pct"/>
            <w:vAlign w:val="center"/>
          </w:tcPr>
          <w:p>
            <w:pPr>
              <w:spacing w:line="440" w:lineRule="exact"/>
              <w:rPr>
                <w:rFonts w:ascii="宋体" w:hAnsi="宋体" w:eastAsiaTheme="minorEastAsia" w:cstheme="minorBidi"/>
                <w:b/>
                <w:bCs/>
                <w:color w:val="auto"/>
                <w:szCs w:val="21"/>
                <w:highlight w:val="none"/>
              </w:rPr>
            </w:pPr>
            <w:r>
              <w:rPr>
                <w:rFonts w:hint="eastAsia" w:ascii="MS Mincho" w:hAnsi="MS Mincho" w:cs="MS Mincho" w:eastAsiaTheme="minorEastAsia"/>
                <w:snapToGrid w:val="0"/>
                <w:color w:val="auto"/>
                <w:kern w:val="0"/>
                <w:szCs w:val="21"/>
                <w:highlight w:val="none"/>
              </w:rPr>
              <w:t xml:space="preserve">■ </w:t>
            </w:r>
            <w:r>
              <w:rPr>
                <w:rFonts w:hint="eastAsia" w:ascii="宋体" w:hAnsi="宋体" w:eastAsiaTheme="minorEastAsia" w:cstheme="minorBidi"/>
                <w:color w:val="auto"/>
                <w:szCs w:val="21"/>
                <w:highlight w:val="none"/>
              </w:rPr>
              <w:t xml:space="preserve">授权评标委员会确定中标单位   </w:t>
            </w:r>
            <w:r>
              <w:rPr>
                <w:rFonts w:hint="eastAsia" w:ascii="宋体" w:hAnsi="宋体" w:eastAsiaTheme="minorEastAsia" w:cstheme="minorBidi"/>
                <w:snapToGrid w:val="0"/>
                <w:color w:val="auto"/>
                <w:kern w:val="0"/>
                <w:szCs w:val="21"/>
                <w:highlight w:val="none"/>
              </w:rPr>
              <w:t xml:space="preserve">□ </w:t>
            </w:r>
            <w:r>
              <w:rPr>
                <w:rFonts w:hint="eastAsia" w:asciiTheme="minorHAnsi" w:hAnsiTheme="minorHAnsi" w:eastAsiaTheme="minorEastAsia" w:cstheme="minorBidi"/>
                <w:color w:val="auto"/>
                <w:szCs w:val="22"/>
                <w:highlight w:val="none"/>
              </w:rPr>
              <w:t>评标和定标分离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24" w:type="pct"/>
            <w:vAlign w:val="center"/>
          </w:tcPr>
          <w:p>
            <w:pPr>
              <w:spacing w:line="440" w:lineRule="exact"/>
              <w:jc w:val="center"/>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2</w:t>
            </w:r>
          </w:p>
        </w:tc>
        <w:tc>
          <w:tcPr>
            <w:tcW w:w="959" w:type="pct"/>
            <w:vAlign w:val="center"/>
          </w:tcPr>
          <w:p>
            <w:pPr>
              <w:spacing w:line="440" w:lineRule="exact"/>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评标方法</w:t>
            </w:r>
          </w:p>
        </w:tc>
        <w:tc>
          <w:tcPr>
            <w:tcW w:w="3616" w:type="pct"/>
            <w:vAlign w:val="center"/>
          </w:tcPr>
          <w:p>
            <w:pPr>
              <w:spacing w:line="440" w:lineRule="exact"/>
              <w:rPr>
                <w:rFonts w:ascii="宋体" w:hAnsi="宋体" w:eastAsiaTheme="minorEastAsia" w:cstheme="minorBidi"/>
                <w:b/>
                <w:bCs/>
                <w:color w:val="auto"/>
                <w:szCs w:val="21"/>
                <w:highlight w:val="none"/>
              </w:rPr>
            </w:pPr>
            <w:r>
              <w:rPr>
                <w:rFonts w:hint="eastAsia" w:ascii="MS Mincho" w:hAnsi="MS Mincho" w:cs="MS Mincho" w:eastAsiaTheme="minorEastAsia"/>
                <w:snapToGrid w:val="0"/>
                <w:color w:val="auto"/>
                <w:kern w:val="0"/>
                <w:szCs w:val="21"/>
                <w:highlight w:val="none"/>
              </w:rPr>
              <w:t xml:space="preserve">■ </w:t>
            </w:r>
            <w:r>
              <w:rPr>
                <w:rFonts w:hint="eastAsia" w:ascii="宋体" w:hAnsi="宋体" w:eastAsiaTheme="minorEastAsia" w:cstheme="minorBidi"/>
                <w:color w:val="auto"/>
                <w:szCs w:val="21"/>
                <w:highlight w:val="none"/>
              </w:rPr>
              <w:t xml:space="preserve">综合评分法    </w:t>
            </w:r>
            <w:r>
              <w:rPr>
                <w:rFonts w:ascii="宋体" w:hAnsi="宋体" w:eastAsiaTheme="minorEastAsia" w:cstheme="minorBidi"/>
                <w:color w:val="auto"/>
                <w:szCs w:val="21"/>
                <w:highlight w:val="none"/>
              </w:rPr>
              <w:t xml:space="preserve">               </w:t>
            </w:r>
            <w:r>
              <w:rPr>
                <w:rFonts w:hint="eastAsia" w:ascii="宋体" w:hAnsi="宋体" w:eastAsiaTheme="minorEastAsia" w:cstheme="minorBidi"/>
                <w:snapToGrid w:val="0"/>
                <w:color w:val="auto"/>
                <w:kern w:val="0"/>
                <w:szCs w:val="21"/>
                <w:highlight w:val="none"/>
              </w:rPr>
              <w:t xml:space="preserve">□ </w:t>
            </w:r>
            <w:r>
              <w:rPr>
                <w:rFonts w:hint="eastAsia" w:ascii="Calibri" w:hAnsi="Calibri" w:eastAsiaTheme="minorEastAsia" w:cstheme="minorBidi"/>
                <w:color w:val="auto"/>
                <w:szCs w:val="21"/>
                <w:highlight w:val="none"/>
              </w:rPr>
              <w:t>最低价法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24" w:type="pct"/>
            <w:vAlign w:val="center"/>
          </w:tcPr>
          <w:p>
            <w:pPr>
              <w:spacing w:line="440" w:lineRule="exact"/>
              <w:jc w:val="center"/>
              <w:rPr>
                <w:rFonts w:ascii="宋体" w:hAnsi="宋体" w:eastAsiaTheme="minorEastAsia" w:cstheme="minorBidi"/>
                <w:bCs/>
                <w:color w:val="auto"/>
                <w:szCs w:val="21"/>
                <w:highlight w:val="none"/>
              </w:rPr>
            </w:pPr>
            <w:r>
              <w:rPr>
                <w:rFonts w:ascii="宋体" w:hAnsi="宋体" w:eastAsiaTheme="minorEastAsia" w:cstheme="minorBidi"/>
                <w:bCs/>
                <w:color w:val="auto"/>
                <w:szCs w:val="21"/>
                <w:highlight w:val="none"/>
              </w:rPr>
              <w:t>3</w:t>
            </w:r>
          </w:p>
        </w:tc>
        <w:tc>
          <w:tcPr>
            <w:tcW w:w="959" w:type="pct"/>
            <w:vAlign w:val="center"/>
          </w:tcPr>
          <w:p>
            <w:pPr>
              <w:spacing w:line="440" w:lineRule="exact"/>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价格评审优惠政策</w:t>
            </w:r>
          </w:p>
        </w:tc>
        <w:tc>
          <w:tcPr>
            <w:tcW w:w="3616" w:type="pct"/>
            <w:vAlign w:val="center"/>
          </w:tcPr>
          <w:p>
            <w:pPr>
              <w:spacing w:line="440" w:lineRule="exact"/>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1、小型企业、微型企业、监狱企业、残疾人福利性单位承接服务，对其价格给予10%的扣除，用扣除后的价格参与评审。满足多项优惠政策的企业，不重复享受多项价格扣除政策。</w:t>
            </w:r>
          </w:p>
          <w:p>
            <w:pPr>
              <w:spacing w:line="440" w:lineRule="exact"/>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扣除，用扣除后的价格参加评审。联合体各方均为小微企业的，价格扣除比例为10%。</w:t>
            </w:r>
            <w:r>
              <w:rPr>
                <w:rFonts w:hint="eastAsia" w:asciiTheme="majorEastAsia" w:hAnsiTheme="majorEastAsia" w:eastAsiaTheme="majorEastAsia" w:cstheme="majorEastAsia"/>
                <w:b/>
                <w:color w:val="auto"/>
                <w:szCs w:val="22"/>
                <w:highlight w:val="none"/>
              </w:rPr>
              <w:t>（不接受联合体投标的项目，本条不适用）</w:t>
            </w:r>
            <w:r>
              <w:rPr>
                <w:rFonts w:hint="eastAsia" w:asciiTheme="majorEastAsia" w:hAnsiTheme="majorEastAsia" w:eastAsiaTheme="majorEastAsia" w:cstheme="majorEastAsia"/>
                <w:color w:val="auto"/>
                <w:szCs w:val="22"/>
                <w:highlight w:val="none"/>
              </w:rPr>
              <w:t>。</w:t>
            </w:r>
          </w:p>
          <w:p>
            <w:pPr>
              <w:spacing w:line="440" w:lineRule="exact"/>
              <w:rPr>
                <w:rFonts w:ascii="宋体" w:hAnsi="宋体" w:eastAsiaTheme="minorEastAsia" w:cstheme="minorBidi"/>
                <w:b/>
                <w:bCs/>
                <w:color w:val="auto"/>
                <w:szCs w:val="21"/>
                <w:highlight w:val="none"/>
              </w:rPr>
            </w:pPr>
            <w:r>
              <w:rPr>
                <w:rFonts w:hint="eastAsia" w:asciiTheme="majorEastAsia" w:hAnsiTheme="majorEastAsia" w:eastAsiaTheme="majorEastAsia" w:cstheme="majorEastAsia"/>
                <w:color w:val="auto"/>
                <w:szCs w:val="22"/>
                <w:highlight w:val="none"/>
              </w:rPr>
              <w:t>3、优惠主体资格的认定资料为《中小企业声明函》《残疾人福利性单位声明函》《监狱企业声明函》等承诺性质的资料（声明函样式见“第五章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bl>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备注：</w:t>
      </w:r>
      <w:r>
        <w:rPr>
          <w:rFonts w:hint="eastAsia" w:ascii="宋体" w:hAnsi="宋体"/>
          <w:snapToGrid w:val="0"/>
          <w:color w:val="auto"/>
          <w:kern w:val="0"/>
          <w:szCs w:val="21"/>
          <w:highlight w:val="none"/>
        </w:rPr>
        <w:t>用“</w:t>
      </w:r>
      <w:r>
        <w:rPr>
          <w:rFonts w:hint="eastAsia" w:ascii="MS Mincho" w:hAnsi="MS Mincho" w:cs="MS Mincho" w:eastAsiaTheme="minorEastAsia"/>
          <w:snapToGrid w:val="0"/>
          <w:color w:val="auto"/>
          <w:kern w:val="0"/>
          <w:szCs w:val="21"/>
          <w:highlight w:val="none"/>
        </w:rPr>
        <w:t>■</w:t>
      </w:r>
      <w:r>
        <w:rPr>
          <w:rFonts w:hint="eastAsia" w:ascii="宋体" w:hAnsi="宋体"/>
          <w:snapToGrid w:val="0"/>
          <w:color w:val="auto"/>
          <w:kern w:val="0"/>
          <w:szCs w:val="21"/>
          <w:highlight w:val="none"/>
        </w:rPr>
        <w:t>”标识时表明该选项被采购人选用，用“□”标识时表明该选项未被采购人选用。</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二、本项目评标信息</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1、</w:t>
      </w:r>
      <w:r>
        <w:rPr>
          <w:rFonts w:ascii="宋体" w:hAnsi="宋体"/>
          <w:b/>
          <w:bCs/>
          <w:color w:val="auto"/>
          <w:szCs w:val="21"/>
          <w:highlight w:val="none"/>
        </w:rPr>
        <w:t>符合性检查表</w:t>
      </w:r>
    </w:p>
    <w:tbl>
      <w:tblPr>
        <w:tblStyle w:val="3"/>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19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30" w:type="dxa"/>
            <w:vAlign w:val="center"/>
          </w:tcPr>
          <w:p>
            <w:pPr>
              <w:spacing w:line="440" w:lineRule="exact"/>
              <w:jc w:val="center"/>
              <w:rPr>
                <w:rFonts w:ascii="宋体" w:hAnsi="宋体"/>
                <w:b/>
                <w:color w:val="auto"/>
                <w:highlight w:val="none"/>
              </w:rPr>
            </w:pPr>
            <w:r>
              <w:rPr>
                <w:rFonts w:ascii="宋体" w:hAnsi="宋体"/>
                <w:b/>
                <w:color w:val="auto"/>
                <w:highlight w:val="none"/>
              </w:rPr>
              <w:t>序号</w:t>
            </w:r>
          </w:p>
        </w:tc>
        <w:tc>
          <w:tcPr>
            <w:tcW w:w="6193" w:type="dxa"/>
            <w:vAlign w:val="center"/>
          </w:tcPr>
          <w:p>
            <w:pPr>
              <w:spacing w:line="440" w:lineRule="exact"/>
              <w:ind w:left="-828" w:firstLine="828"/>
              <w:jc w:val="center"/>
              <w:rPr>
                <w:rFonts w:ascii="宋体" w:hAnsi="宋体"/>
                <w:b/>
                <w:color w:val="auto"/>
                <w:sz w:val="24"/>
                <w:highlight w:val="none"/>
              </w:rPr>
            </w:pPr>
            <w:r>
              <w:rPr>
                <w:rFonts w:ascii="宋体" w:hAnsi="宋体"/>
                <w:b/>
                <w:color w:val="auto"/>
                <w:highlight w:val="none"/>
              </w:rPr>
              <w:t>评议内容</w:t>
            </w:r>
          </w:p>
        </w:tc>
        <w:tc>
          <w:tcPr>
            <w:tcW w:w="1536" w:type="dxa"/>
            <w:vAlign w:val="center"/>
          </w:tcPr>
          <w:p>
            <w:pPr>
              <w:spacing w:line="440" w:lineRule="exact"/>
              <w:ind w:left="44" w:hanging="44"/>
              <w:jc w:val="center"/>
              <w:rPr>
                <w:rFonts w:ascii="宋体" w:hAnsi="宋体"/>
                <w:b/>
                <w:color w:val="auto"/>
                <w:sz w:val="24"/>
                <w:highlight w:val="none"/>
              </w:rPr>
            </w:pPr>
            <w:r>
              <w:rPr>
                <w:rFonts w:ascii="宋体" w:hAnsi="宋体"/>
                <w:b/>
                <w:color w:val="auto"/>
                <w:highlight w:val="none"/>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1</w:t>
            </w:r>
          </w:p>
        </w:tc>
        <w:tc>
          <w:tcPr>
            <w:tcW w:w="6193" w:type="dxa"/>
            <w:vAlign w:val="center"/>
          </w:tcPr>
          <w:p>
            <w:pPr>
              <w:spacing w:line="440" w:lineRule="exact"/>
              <w:rPr>
                <w:rFonts w:ascii="宋体" w:hAnsi="宋体"/>
                <w:color w:val="auto"/>
                <w:sz w:val="24"/>
                <w:highlight w:val="none"/>
              </w:rPr>
            </w:pPr>
            <w:r>
              <w:rPr>
                <w:rFonts w:hint="eastAsia" w:hAnsi="宋体"/>
                <w:color w:val="auto"/>
                <w:szCs w:val="21"/>
                <w:highlight w:val="none"/>
              </w:rPr>
              <w:t>按照招标文件的格式详细填写“投标函”</w:t>
            </w:r>
          </w:p>
        </w:tc>
        <w:tc>
          <w:tcPr>
            <w:tcW w:w="1536"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2</w:t>
            </w:r>
          </w:p>
        </w:tc>
        <w:tc>
          <w:tcPr>
            <w:tcW w:w="6193" w:type="dxa"/>
            <w:vAlign w:val="center"/>
          </w:tcPr>
          <w:p>
            <w:pPr>
              <w:spacing w:line="440" w:lineRule="exact"/>
              <w:rPr>
                <w:rFonts w:ascii="宋体" w:hAnsi="宋体"/>
                <w:color w:val="auto"/>
                <w:highlight w:val="none"/>
              </w:rPr>
            </w:pPr>
            <w:r>
              <w:rPr>
                <w:rFonts w:hint="eastAsia" w:hAnsi="宋体"/>
                <w:color w:val="auto"/>
                <w:szCs w:val="21"/>
                <w:highlight w:val="none"/>
              </w:rPr>
              <w:t>按照招标文件的格式详细填写“</w:t>
            </w:r>
            <w:r>
              <w:rPr>
                <w:rFonts w:hint="eastAsia" w:ascii="宋体" w:hAnsi="宋体"/>
                <w:color w:val="auto"/>
                <w:highlight w:val="none"/>
              </w:rPr>
              <w:t>政府采购投标及履约承诺函</w:t>
            </w:r>
            <w:r>
              <w:rPr>
                <w:rFonts w:hint="eastAsia" w:hAnsi="宋体"/>
                <w:color w:val="auto"/>
                <w:szCs w:val="21"/>
                <w:highlight w:val="none"/>
              </w:rPr>
              <w:t>”</w:t>
            </w:r>
          </w:p>
        </w:tc>
        <w:tc>
          <w:tcPr>
            <w:tcW w:w="1536"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3</w:t>
            </w:r>
          </w:p>
        </w:tc>
        <w:tc>
          <w:tcPr>
            <w:tcW w:w="6193" w:type="dxa"/>
            <w:vAlign w:val="center"/>
          </w:tcPr>
          <w:p>
            <w:pPr>
              <w:spacing w:line="440" w:lineRule="exact"/>
              <w:rPr>
                <w:rFonts w:ascii="宋体" w:hAnsi="宋体"/>
                <w:color w:val="auto"/>
                <w:highlight w:val="none"/>
              </w:rPr>
            </w:pPr>
            <w:r>
              <w:rPr>
                <w:rFonts w:hint="eastAsia" w:ascii="宋体" w:hAnsi="宋体"/>
                <w:color w:val="auto"/>
                <w:highlight w:val="none"/>
              </w:rPr>
              <w:t>开标一览表未出现无报价、报价为零或有选择性报价</w:t>
            </w:r>
          </w:p>
        </w:tc>
        <w:tc>
          <w:tcPr>
            <w:tcW w:w="1536"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4</w:t>
            </w:r>
          </w:p>
        </w:tc>
        <w:tc>
          <w:tcPr>
            <w:tcW w:w="6193" w:type="dxa"/>
            <w:vAlign w:val="center"/>
          </w:tcPr>
          <w:p>
            <w:pPr>
              <w:spacing w:line="440" w:lineRule="exact"/>
              <w:rPr>
                <w:rFonts w:ascii="宋体" w:hAnsi="宋体"/>
                <w:color w:val="auto"/>
                <w:highlight w:val="none"/>
              </w:rPr>
            </w:pPr>
            <w:r>
              <w:rPr>
                <w:rFonts w:hint="eastAsia" w:ascii="宋体" w:hAnsi="宋体"/>
                <w:color w:val="auto"/>
                <w:highlight w:val="none"/>
              </w:rPr>
              <w:t>投标总价</w:t>
            </w:r>
            <w:r>
              <w:rPr>
                <w:rFonts w:hint="eastAsia" w:ascii="宋体" w:hAnsi="宋体"/>
                <w:color w:val="auto"/>
                <w:szCs w:val="21"/>
                <w:highlight w:val="none"/>
              </w:rPr>
              <w:t>或分项报价</w:t>
            </w:r>
            <w:r>
              <w:rPr>
                <w:rFonts w:hint="eastAsia" w:ascii="宋体" w:hAnsi="宋体"/>
                <w:color w:val="auto"/>
                <w:highlight w:val="none"/>
              </w:rPr>
              <w:t>未超过预算控制金额</w:t>
            </w:r>
          </w:p>
        </w:tc>
        <w:tc>
          <w:tcPr>
            <w:tcW w:w="1536"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5</w:t>
            </w:r>
          </w:p>
        </w:tc>
        <w:tc>
          <w:tcPr>
            <w:tcW w:w="6193" w:type="dxa"/>
            <w:vAlign w:val="center"/>
          </w:tcPr>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评标委员会认为投标人的报价明显低于其他通过符合性审查投标人的报价，有可能影响产品质量或者不能诚信履约的，投标人能在</w:t>
            </w:r>
            <w:r>
              <w:rPr>
                <w:rFonts w:hint="eastAsia" w:asciiTheme="minorEastAsia" w:hAnsiTheme="minorEastAsia" w:eastAsiaTheme="minorEastAsia"/>
                <w:color w:val="auto"/>
                <w:szCs w:val="21"/>
                <w:highlight w:val="none"/>
              </w:rPr>
              <w:t>评标现场</w:t>
            </w:r>
            <w:r>
              <w:rPr>
                <w:rFonts w:asciiTheme="minorEastAsia" w:hAnsiTheme="minorEastAsia" w:eastAsiaTheme="minorEastAsia"/>
                <w:color w:val="auto"/>
                <w:szCs w:val="21"/>
                <w:highlight w:val="none"/>
              </w:rPr>
              <w:t>合理的时间内提供书面说明</w:t>
            </w:r>
            <w:r>
              <w:rPr>
                <w:rFonts w:hint="eastAsia" w:asciiTheme="minorEastAsia" w:hAnsiTheme="minorEastAsia" w:eastAsiaTheme="minorEastAsia"/>
                <w:color w:val="auto"/>
                <w:szCs w:val="21"/>
                <w:highlight w:val="none"/>
              </w:rPr>
              <w:t>（必要时提交相关证明材料）</w:t>
            </w:r>
            <w:r>
              <w:rPr>
                <w:rFonts w:asciiTheme="minorEastAsia" w:hAnsiTheme="minorEastAsia" w:eastAsiaTheme="minorEastAsia"/>
                <w:color w:val="auto"/>
                <w:szCs w:val="21"/>
                <w:highlight w:val="none"/>
              </w:rPr>
              <w:t>或提交</w:t>
            </w:r>
            <w:r>
              <w:rPr>
                <w:rFonts w:hint="eastAsia" w:asciiTheme="minorEastAsia" w:hAnsiTheme="minorEastAsia" w:eastAsiaTheme="minorEastAsia"/>
                <w:color w:val="auto"/>
                <w:szCs w:val="21"/>
                <w:highlight w:val="none"/>
              </w:rPr>
              <w:t>的书面说明</w:t>
            </w:r>
            <w:r>
              <w:rPr>
                <w:rFonts w:asciiTheme="minorEastAsia" w:hAnsiTheme="minorEastAsia" w:eastAsiaTheme="minorEastAsia"/>
                <w:color w:val="auto"/>
                <w:szCs w:val="21"/>
                <w:highlight w:val="none"/>
              </w:rPr>
              <w:t>能证明其报价合理性</w:t>
            </w:r>
            <w:r>
              <w:rPr>
                <w:rFonts w:hint="eastAsia" w:asciiTheme="minorEastAsia" w:hAnsiTheme="minorEastAsia" w:eastAsiaTheme="minorEastAsia"/>
                <w:color w:val="auto"/>
                <w:szCs w:val="21"/>
                <w:highlight w:val="none"/>
              </w:rPr>
              <w:t>。（若</w:t>
            </w:r>
            <w:r>
              <w:rPr>
                <w:rFonts w:asciiTheme="minorEastAsia" w:hAnsiTheme="minorEastAsia" w:eastAsiaTheme="minorEastAsia"/>
                <w:color w:val="auto"/>
                <w:szCs w:val="21"/>
                <w:highlight w:val="none"/>
              </w:rPr>
              <w:t>评标委员会</w:t>
            </w:r>
            <w:r>
              <w:rPr>
                <w:rFonts w:hint="eastAsia" w:asciiTheme="minorEastAsia" w:hAnsiTheme="minorEastAsia" w:eastAsiaTheme="minorEastAsia"/>
                <w:color w:val="auto"/>
                <w:szCs w:val="21"/>
                <w:highlight w:val="none"/>
              </w:rPr>
              <w:t>成员对是否须由投标人做出报价合理性说明，以及书面说明是否采纳等判断不一致的，按照“少数服从多数”的原则确定。）</w:t>
            </w:r>
          </w:p>
        </w:tc>
        <w:tc>
          <w:tcPr>
            <w:tcW w:w="1536"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6</w:t>
            </w:r>
          </w:p>
        </w:tc>
        <w:tc>
          <w:tcPr>
            <w:tcW w:w="6193" w:type="dxa"/>
            <w:vAlign w:val="center"/>
          </w:tcPr>
          <w:p>
            <w:pPr>
              <w:spacing w:line="440" w:lineRule="exact"/>
              <w:rPr>
                <w:rFonts w:ascii="宋体" w:hAnsi="宋体"/>
                <w:color w:val="auto"/>
                <w:highlight w:val="none"/>
              </w:rPr>
            </w:pPr>
            <w:r>
              <w:rPr>
                <w:color w:val="auto"/>
                <w:szCs w:val="21"/>
                <w:highlight w:val="none"/>
              </w:rPr>
              <w:t>实质性满足招标文件要求</w:t>
            </w:r>
            <w:r>
              <w:rPr>
                <w:rFonts w:hint="eastAsia"/>
                <w:color w:val="auto"/>
                <w:szCs w:val="21"/>
                <w:highlight w:val="none"/>
              </w:rPr>
              <w:t>和条件</w:t>
            </w:r>
            <w:r>
              <w:rPr>
                <w:color w:val="auto"/>
                <w:szCs w:val="21"/>
                <w:highlight w:val="none"/>
              </w:rPr>
              <w:t>（</w:t>
            </w:r>
            <w:r>
              <w:rPr>
                <w:rFonts w:hint="eastAsia" w:ascii="宋体" w:hAnsi="宋体"/>
                <w:color w:val="auto"/>
                <w:highlight w:val="none"/>
              </w:rPr>
              <w:t>不可偏离项检查</w:t>
            </w:r>
            <w:r>
              <w:rPr>
                <w:color w:val="auto"/>
                <w:szCs w:val="21"/>
                <w:highlight w:val="none"/>
              </w:rPr>
              <w:t>）</w:t>
            </w:r>
          </w:p>
        </w:tc>
        <w:tc>
          <w:tcPr>
            <w:tcW w:w="1536"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7</w:t>
            </w:r>
          </w:p>
        </w:tc>
        <w:tc>
          <w:tcPr>
            <w:tcW w:w="6193" w:type="dxa"/>
            <w:vAlign w:val="center"/>
          </w:tcPr>
          <w:p>
            <w:pPr>
              <w:spacing w:line="440" w:lineRule="exact"/>
              <w:rPr>
                <w:color w:val="auto"/>
                <w:szCs w:val="21"/>
                <w:highlight w:val="none"/>
              </w:rPr>
            </w:pPr>
            <w:r>
              <w:rPr>
                <w:color w:val="auto"/>
                <w:szCs w:val="21"/>
                <w:highlight w:val="none"/>
              </w:rPr>
              <w:t>投标文件载明的项目服务期</w:t>
            </w:r>
            <w:r>
              <w:rPr>
                <w:rFonts w:hint="eastAsia"/>
                <w:color w:val="auto"/>
                <w:szCs w:val="21"/>
                <w:highlight w:val="none"/>
              </w:rPr>
              <w:t>符合</w:t>
            </w:r>
            <w:r>
              <w:rPr>
                <w:color w:val="auto"/>
                <w:szCs w:val="21"/>
                <w:highlight w:val="none"/>
              </w:rPr>
              <w:t>招标文件规定的期限</w:t>
            </w:r>
          </w:p>
        </w:tc>
        <w:tc>
          <w:tcPr>
            <w:tcW w:w="1536"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8</w:t>
            </w:r>
          </w:p>
        </w:tc>
        <w:tc>
          <w:tcPr>
            <w:tcW w:w="6193" w:type="dxa"/>
            <w:vAlign w:val="center"/>
          </w:tcPr>
          <w:p>
            <w:pPr>
              <w:spacing w:line="440" w:lineRule="exact"/>
              <w:jc w:val="left"/>
              <w:rPr>
                <w:rFonts w:ascii="宋体" w:hAnsi="宋体"/>
                <w:color w:val="auto"/>
                <w:highlight w:val="none"/>
              </w:rPr>
            </w:pPr>
            <w:r>
              <w:rPr>
                <w:rFonts w:hint="eastAsia" w:hAnsi="宋体"/>
                <w:color w:val="auto"/>
                <w:szCs w:val="21"/>
                <w:highlight w:val="none"/>
              </w:rPr>
              <w:t>《技术偏离表》和《商务偏离表》已提交</w:t>
            </w:r>
          </w:p>
        </w:tc>
        <w:tc>
          <w:tcPr>
            <w:tcW w:w="1536" w:type="dxa"/>
            <w:vAlign w:val="center"/>
          </w:tcPr>
          <w:p>
            <w:pPr>
              <w:spacing w:line="440" w:lineRule="exact"/>
              <w:ind w:left="57"/>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9</w:t>
            </w:r>
          </w:p>
        </w:tc>
        <w:tc>
          <w:tcPr>
            <w:tcW w:w="6193" w:type="dxa"/>
            <w:vAlign w:val="center"/>
          </w:tcPr>
          <w:p>
            <w:pPr>
              <w:spacing w:line="440" w:lineRule="exact"/>
              <w:rPr>
                <w:rFonts w:ascii="宋体" w:hAnsi="宋体"/>
                <w:color w:val="auto"/>
                <w:highlight w:val="none"/>
              </w:rPr>
            </w:pPr>
            <w:r>
              <w:rPr>
                <w:rFonts w:hint="eastAsia" w:ascii="宋体" w:hAnsi="宋体"/>
                <w:color w:val="auto"/>
                <w:highlight w:val="none"/>
              </w:rPr>
              <w:t>不存在“否决性条款”列明的其他情况</w:t>
            </w:r>
          </w:p>
        </w:tc>
        <w:tc>
          <w:tcPr>
            <w:tcW w:w="1536"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10</w:t>
            </w:r>
          </w:p>
        </w:tc>
        <w:tc>
          <w:tcPr>
            <w:tcW w:w="6193" w:type="dxa"/>
            <w:vAlign w:val="center"/>
          </w:tcPr>
          <w:p>
            <w:pPr>
              <w:spacing w:line="440" w:lineRule="exact"/>
              <w:rPr>
                <w:rFonts w:ascii="宋体" w:hAnsi="宋体"/>
                <w:color w:val="auto"/>
                <w:szCs w:val="21"/>
                <w:highlight w:val="none"/>
              </w:rPr>
            </w:pPr>
            <w:r>
              <w:rPr>
                <w:rFonts w:ascii="宋体" w:hAnsi="宋体"/>
                <w:color w:val="auto"/>
                <w:szCs w:val="21"/>
                <w:highlight w:val="none"/>
              </w:rPr>
              <w:t>结论</w:t>
            </w:r>
          </w:p>
        </w:tc>
        <w:tc>
          <w:tcPr>
            <w:tcW w:w="1536"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通过/不通过</w:t>
            </w:r>
          </w:p>
        </w:tc>
      </w:tr>
    </w:tbl>
    <w:p>
      <w:pPr>
        <w:spacing w:line="340" w:lineRule="exact"/>
        <w:ind w:firstLine="422" w:firstLineChars="200"/>
        <w:rPr>
          <w:rFonts w:ascii="宋体" w:hAnsi="宋体"/>
          <w:b/>
          <w:color w:val="auto"/>
          <w:szCs w:val="21"/>
          <w:highlight w:val="none"/>
        </w:rPr>
      </w:pPr>
      <w:r>
        <w:rPr>
          <w:rFonts w:hint="eastAsia" w:ascii="宋体" w:hAnsi="宋体"/>
          <w:b/>
          <w:color w:val="auto"/>
          <w:szCs w:val="21"/>
          <w:highlight w:val="none"/>
        </w:rPr>
        <w:t>2、评分表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687"/>
        <w:gridCol w:w="9"/>
        <w:gridCol w:w="1518"/>
        <w:gridCol w:w="9"/>
        <w:gridCol w:w="697"/>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13" w:type="pct"/>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w:t>
            </w:r>
          </w:p>
        </w:tc>
        <w:tc>
          <w:tcPr>
            <w:tcW w:w="290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713" w:type="pct"/>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价格</w:t>
            </w:r>
          </w:p>
        </w:tc>
        <w:tc>
          <w:tcPr>
            <w:tcW w:w="290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4622" w:type="pct"/>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投标报价价格分=（评标基准价/投标报价）×</w:t>
            </w:r>
            <w:r>
              <w:rPr>
                <w:rFonts w:hint="eastAsia" w:ascii="宋体" w:hAnsi="宋体" w:eastAsia="宋体" w:cs="宋体"/>
                <w:color w:val="auto"/>
                <w:sz w:val="21"/>
                <w:szCs w:val="21"/>
                <w:highlight w:val="none"/>
                <w:lang w:eastAsia="zh-CN"/>
              </w:rPr>
              <w:t>权重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713" w:type="pct"/>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p>
        </w:tc>
        <w:tc>
          <w:tcPr>
            <w:tcW w:w="290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9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权重</w:t>
            </w:r>
          </w:p>
        </w:tc>
        <w:tc>
          <w:tcPr>
            <w:tcW w:w="290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6" w:type="pct"/>
            <w:gridSpan w:val="2"/>
            <w:vAlign w:val="center"/>
          </w:tcPr>
          <w:p>
            <w:pPr>
              <w:jc w:val="center"/>
              <w:rPr>
                <w:rFonts w:hint="eastAsia" w:ascii="宋体" w:hAnsi="宋体" w:eastAsia="宋体" w:cs="宋体"/>
                <w:color w:val="auto"/>
                <w:sz w:val="21"/>
                <w:szCs w:val="21"/>
                <w:highlight w:val="none"/>
              </w:rPr>
            </w:pPr>
            <w:r>
              <w:rPr>
                <w:rFonts w:hint="eastAsia" w:ascii="新宋体" w:hAnsi="新宋体" w:eastAsia="新宋体"/>
                <w:color w:val="auto"/>
                <w:szCs w:val="21"/>
              </w:rPr>
              <w:t>实施方案</w:t>
            </w:r>
          </w:p>
        </w:tc>
        <w:tc>
          <w:tcPr>
            <w:tcW w:w="413" w:type="pct"/>
            <w:gridSpan w:val="2"/>
            <w:vAlign w:val="center"/>
          </w:tcPr>
          <w:p>
            <w:pPr>
              <w:jc w:val="center"/>
              <w:rPr>
                <w:rFonts w:hint="default" w:ascii="宋体" w:hAnsi="宋体" w:eastAsia="宋体" w:cs="宋体"/>
                <w:color w:val="auto"/>
                <w:sz w:val="21"/>
                <w:szCs w:val="21"/>
                <w:highlight w:val="none"/>
                <w:lang w:val="en-US" w:eastAsia="zh-CN"/>
              </w:rPr>
            </w:pPr>
            <w:r>
              <w:rPr>
                <w:rFonts w:hint="eastAsia" w:ascii="新宋体" w:hAnsi="新宋体" w:eastAsia="新宋体"/>
                <w:color w:val="auto"/>
                <w:szCs w:val="21"/>
              </w:rPr>
              <w:t>1</w:t>
            </w:r>
            <w:r>
              <w:rPr>
                <w:rFonts w:hint="eastAsia" w:ascii="新宋体" w:hAnsi="新宋体" w:eastAsia="新宋体"/>
                <w:color w:val="auto"/>
                <w:szCs w:val="21"/>
                <w:lang w:val="en-US" w:eastAsia="zh-CN"/>
              </w:rPr>
              <w:t>0</w:t>
            </w:r>
          </w:p>
        </w:tc>
        <w:tc>
          <w:tcPr>
            <w:tcW w:w="2909" w:type="pct"/>
            <w:vAlign w:val="top"/>
          </w:tcPr>
          <w:p>
            <w:pPr>
              <w:rPr>
                <w:rFonts w:ascii="新宋体" w:hAnsi="新宋体" w:eastAsia="新宋体"/>
                <w:color w:val="auto"/>
                <w:szCs w:val="21"/>
              </w:rPr>
            </w:pPr>
            <w:r>
              <w:rPr>
                <w:rFonts w:hint="eastAsia" w:ascii="新宋体" w:hAnsi="新宋体" w:eastAsia="新宋体"/>
                <w:color w:val="auto"/>
                <w:szCs w:val="21"/>
              </w:rPr>
              <w:t>（一）评审内容：根据招标文件的需求，和投标文件响应情况，从</w:t>
            </w:r>
            <w:r>
              <w:rPr>
                <w:rFonts w:hint="eastAsia" w:ascii="新宋体" w:hAnsi="新宋体" w:eastAsia="新宋体"/>
                <w:color w:val="auto"/>
                <w:szCs w:val="21"/>
                <w:lang w:val="en-US" w:eastAsia="zh-CN"/>
              </w:rPr>
              <w:t>1）</w:t>
            </w:r>
            <w:r>
              <w:rPr>
                <w:rFonts w:hint="eastAsia" w:ascii="新宋体" w:hAnsi="新宋体" w:eastAsia="新宋体"/>
                <w:color w:val="auto"/>
                <w:szCs w:val="21"/>
              </w:rPr>
              <w:t>工作措施、</w:t>
            </w:r>
            <w:r>
              <w:rPr>
                <w:rFonts w:hint="eastAsia" w:ascii="新宋体" w:hAnsi="新宋体" w:eastAsia="新宋体"/>
                <w:color w:val="auto"/>
                <w:szCs w:val="21"/>
                <w:lang w:val="en-US" w:eastAsia="zh-CN"/>
              </w:rPr>
              <w:t>2）</w:t>
            </w:r>
            <w:r>
              <w:rPr>
                <w:rFonts w:hint="eastAsia" w:ascii="新宋体" w:hAnsi="新宋体" w:eastAsia="新宋体"/>
                <w:color w:val="auto"/>
                <w:szCs w:val="21"/>
              </w:rPr>
              <w:t>工作方法、</w:t>
            </w:r>
            <w:r>
              <w:rPr>
                <w:rFonts w:hint="eastAsia" w:ascii="新宋体" w:hAnsi="新宋体" w:eastAsia="新宋体"/>
                <w:color w:val="auto"/>
                <w:szCs w:val="21"/>
                <w:lang w:val="en-US" w:eastAsia="zh-CN"/>
              </w:rPr>
              <w:t>3）</w:t>
            </w:r>
            <w:r>
              <w:rPr>
                <w:rFonts w:hint="eastAsia" w:ascii="新宋体" w:hAnsi="新宋体" w:eastAsia="新宋体"/>
                <w:color w:val="auto"/>
                <w:szCs w:val="21"/>
              </w:rPr>
              <w:t>工作手段、</w:t>
            </w:r>
            <w:r>
              <w:rPr>
                <w:rFonts w:hint="eastAsia" w:ascii="新宋体" w:hAnsi="新宋体" w:eastAsia="新宋体"/>
                <w:color w:val="auto"/>
                <w:szCs w:val="21"/>
                <w:lang w:val="en-US" w:eastAsia="zh-CN"/>
              </w:rPr>
              <w:t>4）</w:t>
            </w:r>
            <w:r>
              <w:rPr>
                <w:rFonts w:hint="eastAsia" w:ascii="新宋体" w:hAnsi="新宋体" w:eastAsia="新宋体"/>
                <w:color w:val="auto"/>
                <w:szCs w:val="21"/>
              </w:rPr>
              <w:t>工作流程等方面进行评审。</w:t>
            </w:r>
          </w:p>
          <w:p>
            <w:pPr>
              <w:rPr>
                <w:rFonts w:ascii="新宋体" w:hAnsi="新宋体" w:eastAsia="新宋体"/>
                <w:color w:val="auto"/>
                <w:szCs w:val="21"/>
              </w:rPr>
            </w:pPr>
            <w:r>
              <w:rPr>
                <w:rFonts w:hint="eastAsia" w:ascii="新宋体" w:hAnsi="新宋体" w:eastAsia="新宋体"/>
                <w:color w:val="auto"/>
                <w:szCs w:val="21"/>
              </w:rPr>
              <w:t>（二）评分标准：</w:t>
            </w:r>
          </w:p>
          <w:p>
            <w:pP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在满足以上四项要求的</w:t>
            </w:r>
            <w:r>
              <w:rPr>
                <w:rFonts w:hint="eastAsia" w:ascii="宋体" w:hAnsi="宋体" w:cs="宋体"/>
                <w:color w:val="auto"/>
                <w:szCs w:val="21"/>
                <w:highlight w:val="none"/>
                <w:lang w:eastAsia="zh-CN"/>
              </w:rPr>
              <w:t>基础上，专家</w:t>
            </w:r>
            <w:r>
              <w:rPr>
                <w:rFonts w:hint="eastAsia" w:ascii="宋体" w:hAnsi="宋体" w:cs="宋体"/>
                <w:color w:val="auto"/>
                <w:szCs w:val="21"/>
                <w:highlight w:val="none"/>
              </w:rPr>
              <w:t>根据各供应商的具体响应内容按照量化的评审因素指标进一步评审，评审为优（实施方案科学合理，内容具体完善，可行性强）的加</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分；评审为良（实施方案较为科学合理，内容较为具体完善，可行性较强）的加</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分；评审为中（实施方案较为科学合理，内容较为具体完善，可行性一般）的加</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分；评审为差（未提供实施方案或实施方案不科学不合理，内容不完善，可行性差）的加0分；如果评审为差，要求专家书面说明理由，并记录在档。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2"/>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96" w:type="pct"/>
            <w:gridSpan w:val="2"/>
            <w:vAlign w:val="center"/>
          </w:tcPr>
          <w:p>
            <w:pPr>
              <w:jc w:val="center"/>
              <w:rPr>
                <w:rFonts w:hint="eastAsia" w:ascii="宋体" w:hAnsi="宋体" w:eastAsia="宋体" w:cs="宋体"/>
                <w:color w:val="auto"/>
                <w:sz w:val="21"/>
                <w:szCs w:val="21"/>
                <w:highlight w:val="none"/>
              </w:rPr>
            </w:pPr>
            <w:r>
              <w:rPr>
                <w:rFonts w:hint="eastAsia" w:ascii="新宋体" w:hAnsi="新宋体" w:eastAsia="新宋体"/>
                <w:color w:val="auto"/>
                <w:szCs w:val="21"/>
              </w:rPr>
              <w:t>项目重点难点分析、应对措施及相关的合理化建议</w:t>
            </w:r>
          </w:p>
        </w:tc>
        <w:tc>
          <w:tcPr>
            <w:tcW w:w="413" w:type="pct"/>
            <w:gridSpan w:val="2"/>
            <w:vAlign w:val="center"/>
          </w:tcPr>
          <w:p>
            <w:pPr>
              <w:jc w:val="center"/>
              <w:rPr>
                <w:rFonts w:hint="default" w:ascii="宋体" w:hAnsi="宋体" w:eastAsia="宋体" w:cs="宋体"/>
                <w:color w:val="auto"/>
                <w:sz w:val="21"/>
                <w:szCs w:val="21"/>
                <w:highlight w:val="none"/>
                <w:lang w:val="en-US" w:eastAsia="zh-CN"/>
              </w:rPr>
            </w:pPr>
            <w:r>
              <w:rPr>
                <w:rFonts w:hint="eastAsia" w:ascii="新宋体" w:hAnsi="新宋体" w:eastAsia="新宋体"/>
                <w:color w:val="auto"/>
                <w:szCs w:val="21"/>
              </w:rPr>
              <w:t>15</w:t>
            </w:r>
          </w:p>
        </w:tc>
        <w:tc>
          <w:tcPr>
            <w:tcW w:w="2909" w:type="pct"/>
            <w:vAlign w:val="top"/>
          </w:tcPr>
          <w:p>
            <w:pPr>
              <w:rPr>
                <w:rFonts w:ascii="新宋体" w:hAnsi="新宋体" w:eastAsia="新宋体"/>
                <w:color w:val="auto"/>
                <w:szCs w:val="21"/>
              </w:rPr>
            </w:pPr>
            <w:r>
              <w:rPr>
                <w:rFonts w:hint="eastAsia" w:ascii="新宋体" w:hAnsi="新宋体" w:eastAsia="新宋体"/>
                <w:color w:val="auto"/>
                <w:szCs w:val="21"/>
              </w:rPr>
              <w:t>（一）评审内容：能否清晰阐述项目重点难点，并从</w:t>
            </w:r>
            <w:r>
              <w:rPr>
                <w:rFonts w:hint="eastAsia" w:ascii="新宋体" w:hAnsi="新宋体" w:eastAsia="新宋体"/>
                <w:color w:val="auto"/>
                <w:szCs w:val="21"/>
                <w:lang w:val="en-US" w:eastAsia="zh-CN"/>
              </w:rPr>
              <w:t>1）</w:t>
            </w:r>
            <w:r>
              <w:rPr>
                <w:rFonts w:hint="eastAsia" w:ascii="新宋体" w:hAnsi="新宋体" w:eastAsia="新宋体"/>
                <w:color w:val="auto"/>
                <w:szCs w:val="21"/>
              </w:rPr>
              <w:t>工作主要职责、</w:t>
            </w:r>
            <w:r>
              <w:rPr>
                <w:rFonts w:hint="eastAsia" w:ascii="新宋体" w:hAnsi="新宋体" w:eastAsia="新宋体"/>
                <w:color w:val="auto"/>
                <w:szCs w:val="21"/>
                <w:lang w:val="en-US" w:eastAsia="zh-CN"/>
              </w:rPr>
              <w:t>2）</w:t>
            </w:r>
            <w:r>
              <w:rPr>
                <w:rFonts w:hint="eastAsia" w:ascii="新宋体" w:hAnsi="新宋体" w:eastAsia="新宋体"/>
                <w:color w:val="auto"/>
                <w:szCs w:val="21"/>
              </w:rPr>
              <w:t>资源调动、</w:t>
            </w:r>
            <w:r>
              <w:rPr>
                <w:rFonts w:hint="eastAsia" w:ascii="新宋体" w:hAnsi="新宋体" w:eastAsia="新宋体"/>
                <w:color w:val="auto"/>
                <w:szCs w:val="21"/>
                <w:lang w:val="en-US" w:eastAsia="zh-CN"/>
              </w:rPr>
              <w:t>3）</w:t>
            </w:r>
            <w:r>
              <w:rPr>
                <w:rFonts w:hint="eastAsia" w:ascii="新宋体" w:hAnsi="新宋体" w:eastAsia="新宋体"/>
                <w:color w:val="auto"/>
                <w:szCs w:val="21"/>
              </w:rPr>
              <w:t>综合统筹等方向提出应对措施或合理化建议。</w:t>
            </w:r>
          </w:p>
          <w:p>
            <w:pPr>
              <w:rPr>
                <w:rFonts w:ascii="新宋体" w:hAnsi="新宋体" w:eastAsia="新宋体"/>
                <w:color w:val="auto"/>
                <w:szCs w:val="21"/>
              </w:rPr>
            </w:pPr>
            <w:r>
              <w:rPr>
                <w:rFonts w:hint="eastAsia" w:ascii="新宋体" w:hAnsi="新宋体" w:eastAsia="新宋体"/>
                <w:color w:val="auto"/>
                <w:szCs w:val="21"/>
              </w:rPr>
              <w:t>（二）评分标准：</w:t>
            </w:r>
          </w:p>
          <w:p>
            <w:pP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在满足以上三项要求的</w:t>
            </w:r>
            <w:r>
              <w:rPr>
                <w:rFonts w:hint="eastAsia" w:ascii="宋体" w:hAnsi="宋体" w:cs="宋体"/>
                <w:color w:val="auto"/>
                <w:szCs w:val="21"/>
                <w:highlight w:val="none"/>
                <w:lang w:eastAsia="zh-CN"/>
              </w:rPr>
              <w:t>基础上，专家</w:t>
            </w:r>
            <w:r>
              <w:rPr>
                <w:rFonts w:hint="eastAsia" w:ascii="宋体" w:hAnsi="宋体" w:cs="宋体"/>
                <w:color w:val="auto"/>
                <w:szCs w:val="21"/>
                <w:highlight w:val="none"/>
              </w:rPr>
              <w:t>根据各供应商的具体响应内容按照量化的评审因素指标进一步评审，</w:t>
            </w:r>
            <w:r>
              <w:rPr>
                <w:rFonts w:hint="eastAsia" w:ascii="宋体" w:hAnsi="宋体" w:eastAsia="宋体" w:cs="宋体"/>
                <w:b w:val="0"/>
                <w:bCs w:val="0"/>
                <w:color w:val="auto"/>
                <w:szCs w:val="21"/>
                <w:highlight w:val="none"/>
              </w:rPr>
              <w:t>评审为优（对重难点理解准确全面，有针对性详细分析，且能提出符合实际且可行性强的应对措施）的加</w:t>
            </w:r>
            <w:r>
              <w:rPr>
                <w:rFonts w:hint="eastAsia" w:ascii="宋体" w:hAnsi="宋体" w:cs="宋体"/>
                <w:b w:val="0"/>
                <w:bCs w:val="0"/>
                <w:color w:val="auto"/>
                <w:szCs w:val="21"/>
                <w:highlight w:val="none"/>
                <w:lang w:val="en-US" w:eastAsia="zh-CN"/>
              </w:rPr>
              <w:t>15</w:t>
            </w:r>
            <w:r>
              <w:rPr>
                <w:rFonts w:hint="eastAsia" w:ascii="宋体" w:hAnsi="宋体" w:eastAsia="宋体" w:cs="宋体"/>
                <w:b w:val="0"/>
                <w:bCs w:val="0"/>
                <w:color w:val="auto"/>
                <w:szCs w:val="21"/>
                <w:highlight w:val="none"/>
              </w:rPr>
              <w:t>分;评审为良（对重难点理解不准确但进行了针对性详细分析或对重难点理解准确但对重难点分析不全面，应对措施详细但不能完全贴合实际或可行性不强）加</w:t>
            </w:r>
            <w:r>
              <w:rPr>
                <w:rFonts w:hint="eastAsia" w:ascii="宋体" w:hAnsi="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分;评审为中（对重难点理解不准确且重难点分析不全面，应对措施简要且不能贴合实际的）加</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分;评审为差（没有正确理解重难点且没有详细分析，应对措施不符合实际的）的不加分；评审为差专家须书面说明理由，并记录在档。未提供具体说明的不得分。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6" w:type="pct"/>
            <w:gridSpan w:val="2"/>
            <w:vAlign w:val="center"/>
          </w:tcPr>
          <w:p>
            <w:pPr>
              <w:jc w:val="center"/>
              <w:rPr>
                <w:rFonts w:hint="eastAsia" w:ascii="宋体" w:hAnsi="宋体" w:eastAsia="宋体" w:cs="宋体"/>
                <w:color w:val="auto"/>
                <w:sz w:val="21"/>
                <w:szCs w:val="21"/>
                <w:highlight w:val="none"/>
              </w:rPr>
            </w:pPr>
            <w:r>
              <w:rPr>
                <w:rFonts w:hint="eastAsia" w:ascii="新宋体" w:hAnsi="新宋体" w:eastAsia="新宋体"/>
                <w:color w:val="auto"/>
                <w:szCs w:val="21"/>
              </w:rPr>
              <w:t>质量（完成时间、安全、环保）保障措施及方案</w:t>
            </w:r>
          </w:p>
        </w:tc>
        <w:tc>
          <w:tcPr>
            <w:tcW w:w="413" w:type="pct"/>
            <w:gridSpan w:val="2"/>
            <w:vAlign w:val="center"/>
          </w:tcPr>
          <w:p>
            <w:pPr>
              <w:jc w:val="center"/>
              <w:rPr>
                <w:rFonts w:hint="eastAsia" w:ascii="宋体" w:hAnsi="宋体" w:eastAsia="宋体" w:cs="宋体"/>
                <w:color w:val="auto"/>
                <w:sz w:val="21"/>
                <w:szCs w:val="21"/>
                <w:highlight w:val="none"/>
                <w:lang w:eastAsia="zh-CN"/>
              </w:rPr>
            </w:pPr>
            <w:r>
              <w:rPr>
                <w:rFonts w:hint="eastAsia" w:ascii="新宋体" w:hAnsi="新宋体" w:eastAsia="新宋体"/>
                <w:color w:val="auto"/>
                <w:szCs w:val="21"/>
              </w:rPr>
              <w:t>10</w:t>
            </w:r>
          </w:p>
        </w:tc>
        <w:tc>
          <w:tcPr>
            <w:tcW w:w="2909" w:type="pct"/>
            <w:vAlign w:val="top"/>
          </w:tcPr>
          <w:p>
            <w:pPr>
              <w:rPr>
                <w:rFonts w:ascii="新宋体" w:hAnsi="新宋体" w:eastAsia="新宋体"/>
                <w:color w:val="auto"/>
                <w:szCs w:val="21"/>
              </w:rPr>
            </w:pPr>
            <w:r>
              <w:rPr>
                <w:rFonts w:hint="eastAsia" w:ascii="新宋体" w:hAnsi="新宋体" w:eastAsia="新宋体"/>
                <w:color w:val="auto"/>
                <w:szCs w:val="21"/>
              </w:rPr>
              <w:t>（一）评审内容：由投标单位做出与本项目实际情况贴切，包括</w:t>
            </w:r>
            <w:r>
              <w:rPr>
                <w:rFonts w:hint="eastAsia" w:ascii="新宋体" w:hAnsi="新宋体" w:eastAsia="新宋体"/>
                <w:color w:val="auto"/>
                <w:szCs w:val="21"/>
                <w:lang w:val="en-US" w:eastAsia="zh-CN"/>
              </w:rPr>
              <w:t>1）</w:t>
            </w:r>
            <w:r>
              <w:rPr>
                <w:rFonts w:hint="eastAsia" w:ascii="新宋体" w:hAnsi="新宋体" w:eastAsia="新宋体"/>
                <w:color w:val="auto"/>
                <w:szCs w:val="21"/>
              </w:rPr>
              <w:t>完成时间、</w:t>
            </w:r>
            <w:r>
              <w:rPr>
                <w:rFonts w:hint="eastAsia" w:ascii="新宋体" w:hAnsi="新宋体" w:eastAsia="新宋体"/>
                <w:color w:val="auto"/>
                <w:szCs w:val="21"/>
                <w:lang w:val="en-US" w:eastAsia="zh-CN"/>
              </w:rPr>
              <w:t>2）</w:t>
            </w:r>
            <w:r>
              <w:rPr>
                <w:rFonts w:hint="eastAsia" w:ascii="新宋体" w:hAnsi="新宋体" w:eastAsia="新宋体"/>
                <w:color w:val="auto"/>
                <w:szCs w:val="21"/>
              </w:rPr>
              <w:t>安全保障、</w:t>
            </w:r>
            <w:r>
              <w:rPr>
                <w:rFonts w:hint="eastAsia" w:ascii="新宋体" w:hAnsi="新宋体" w:eastAsia="新宋体"/>
                <w:color w:val="auto"/>
                <w:szCs w:val="21"/>
                <w:lang w:val="en-US" w:eastAsia="zh-CN"/>
              </w:rPr>
              <w:t>3）</w:t>
            </w:r>
            <w:r>
              <w:rPr>
                <w:rFonts w:hint="eastAsia" w:ascii="新宋体" w:hAnsi="新宋体" w:eastAsia="新宋体"/>
                <w:color w:val="auto"/>
                <w:szCs w:val="21"/>
              </w:rPr>
              <w:t>增值服务等内容的质量保障措施及方案。</w:t>
            </w:r>
          </w:p>
          <w:p>
            <w:pPr>
              <w:rPr>
                <w:rFonts w:ascii="新宋体" w:hAnsi="新宋体" w:eastAsia="新宋体"/>
                <w:color w:val="auto"/>
                <w:szCs w:val="21"/>
              </w:rPr>
            </w:pPr>
            <w:r>
              <w:rPr>
                <w:rFonts w:hint="eastAsia" w:ascii="新宋体" w:hAnsi="新宋体" w:eastAsia="新宋体"/>
                <w:color w:val="auto"/>
                <w:szCs w:val="21"/>
              </w:rPr>
              <w:t>（二）评分标准：</w:t>
            </w:r>
          </w:p>
          <w:p>
            <w:pP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在满足以上三项要求的</w:t>
            </w:r>
            <w:r>
              <w:rPr>
                <w:rFonts w:hint="eastAsia" w:ascii="宋体" w:hAnsi="宋体" w:cs="宋体"/>
                <w:color w:val="auto"/>
                <w:szCs w:val="21"/>
                <w:highlight w:val="none"/>
                <w:lang w:eastAsia="zh-CN"/>
              </w:rPr>
              <w:t>基础上，专家</w:t>
            </w:r>
            <w:r>
              <w:rPr>
                <w:rFonts w:hint="eastAsia" w:ascii="宋体" w:hAnsi="宋体" w:cs="宋体"/>
                <w:color w:val="auto"/>
                <w:szCs w:val="21"/>
                <w:highlight w:val="none"/>
              </w:rPr>
              <w:t>根据各供应商的具体响应内容按照量化的评审因素指标进一步评审，</w:t>
            </w:r>
            <w:r>
              <w:rPr>
                <w:rFonts w:hint="eastAsia" w:ascii="宋体" w:hAnsi="宋体" w:eastAsia="宋体" w:cs="宋体"/>
                <w:color w:val="auto"/>
                <w:sz w:val="21"/>
                <w:szCs w:val="21"/>
                <w:highlight w:val="none"/>
              </w:rPr>
              <w:t>评审为优（</w:t>
            </w:r>
            <w:r>
              <w:rPr>
                <w:rFonts w:hint="eastAsia" w:ascii="新宋体" w:hAnsi="新宋体" w:eastAsia="新宋体"/>
                <w:color w:val="auto"/>
                <w:szCs w:val="21"/>
              </w:rPr>
              <w:t>质量（完成时间、安全、环保）保障措施及方案</w:t>
            </w:r>
            <w:r>
              <w:rPr>
                <w:rFonts w:hint="eastAsia" w:ascii="宋体" w:hAnsi="宋体" w:eastAsia="宋体" w:cs="宋体"/>
                <w:color w:val="auto"/>
                <w:sz w:val="21"/>
                <w:szCs w:val="21"/>
                <w:highlight w:val="none"/>
              </w:rPr>
              <w:t>内容全面、针对性强、可操作性强）</w:t>
            </w:r>
            <w:r>
              <w:rPr>
                <w:rFonts w:hint="eastAsia" w:ascii="宋体" w:hAnsi="宋体" w:cs="宋体"/>
                <w:color w:val="auto"/>
                <w:sz w:val="21"/>
                <w:szCs w:val="21"/>
                <w:highlight w:val="none"/>
                <w:lang w:eastAsia="zh-CN"/>
              </w:rPr>
              <w:t>加</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;评审为良（</w:t>
            </w:r>
            <w:r>
              <w:rPr>
                <w:rFonts w:hint="eastAsia" w:ascii="新宋体" w:hAnsi="新宋体" w:eastAsia="新宋体"/>
                <w:color w:val="auto"/>
                <w:szCs w:val="21"/>
              </w:rPr>
              <w:t>质量（完成时间、安全、环保）保障措施及方案</w:t>
            </w:r>
            <w:r>
              <w:rPr>
                <w:rFonts w:hint="eastAsia" w:ascii="宋体" w:hAnsi="宋体" w:eastAsia="宋体" w:cs="宋体"/>
                <w:color w:val="auto"/>
                <w:sz w:val="21"/>
                <w:szCs w:val="21"/>
                <w:highlight w:val="none"/>
              </w:rPr>
              <w:t>较全面、针对性较强、可操作性较强）</w:t>
            </w:r>
            <w:r>
              <w:rPr>
                <w:rFonts w:hint="eastAsia" w:ascii="宋体" w:hAnsi="宋体" w:cs="宋体"/>
                <w:color w:val="auto"/>
                <w:sz w:val="21"/>
                <w:szCs w:val="21"/>
                <w:highlight w:val="none"/>
                <w:lang w:eastAsia="zh-CN"/>
              </w:rPr>
              <w:t>加</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;评审为中（</w:t>
            </w:r>
            <w:r>
              <w:rPr>
                <w:rFonts w:hint="eastAsia" w:ascii="新宋体" w:hAnsi="新宋体" w:eastAsia="新宋体"/>
                <w:color w:val="auto"/>
                <w:szCs w:val="21"/>
              </w:rPr>
              <w:t>质量（完成时间、安全、环保）保障措施及方案</w:t>
            </w:r>
            <w:r>
              <w:rPr>
                <w:rFonts w:hint="eastAsia" w:ascii="宋体" w:hAnsi="宋体" w:eastAsia="宋体" w:cs="宋体"/>
                <w:color w:val="auto"/>
                <w:sz w:val="21"/>
                <w:szCs w:val="21"/>
                <w:highlight w:val="none"/>
              </w:rPr>
              <w:t>内容完整性、针对性、可操作性均一般）</w:t>
            </w:r>
            <w:r>
              <w:rPr>
                <w:rFonts w:hint="eastAsia" w:ascii="宋体" w:hAnsi="宋体" w:cs="宋体"/>
                <w:color w:val="auto"/>
                <w:sz w:val="21"/>
                <w:szCs w:val="21"/>
                <w:highlight w:val="none"/>
                <w:lang w:eastAsia="zh-CN"/>
              </w:rPr>
              <w:t>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;评审为差（</w:t>
            </w:r>
            <w:r>
              <w:rPr>
                <w:rFonts w:hint="eastAsia" w:ascii="新宋体" w:hAnsi="新宋体" w:eastAsia="新宋体"/>
                <w:color w:val="auto"/>
                <w:szCs w:val="21"/>
              </w:rPr>
              <w:t>质量（完成时间、安全、环保）保障措施及方案</w:t>
            </w:r>
            <w:r>
              <w:rPr>
                <w:rFonts w:hint="eastAsia" w:ascii="宋体" w:hAnsi="宋体" w:eastAsia="宋体" w:cs="宋体"/>
                <w:color w:val="auto"/>
                <w:sz w:val="21"/>
                <w:szCs w:val="21"/>
                <w:highlight w:val="none"/>
              </w:rPr>
              <w:t>内容不完善、针对性较弱、可操作性不强）的不加分；评审为差专家须书面说明理由，并记录在档。</w:t>
            </w:r>
            <w:r>
              <w:rPr>
                <w:rFonts w:hint="eastAsia" w:ascii="宋体" w:hAnsi="宋体" w:eastAsia="宋体" w:cs="宋体"/>
                <w:b w:val="0"/>
                <w:bCs w:val="0"/>
                <w:color w:val="auto"/>
                <w:szCs w:val="21"/>
                <w:highlight w:val="none"/>
              </w:rPr>
              <w:t>未提供具体说明的不得分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jc w:val="center"/>
        </w:trPr>
        <w:tc>
          <w:tcPr>
            <w:tcW w:w="37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96" w:type="pct"/>
            <w:gridSpan w:val="2"/>
            <w:vAlign w:val="center"/>
          </w:tcPr>
          <w:p>
            <w:pPr>
              <w:jc w:val="center"/>
              <w:rPr>
                <w:rFonts w:hint="eastAsia" w:ascii="宋体" w:hAnsi="宋体" w:eastAsia="宋体" w:cs="宋体"/>
                <w:color w:val="auto"/>
                <w:sz w:val="21"/>
                <w:szCs w:val="21"/>
                <w:highlight w:val="none"/>
                <w:lang w:eastAsia="zh-CN"/>
              </w:rPr>
            </w:pPr>
            <w:r>
              <w:rPr>
                <w:rFonts w:hint="eastAsia" w:ascii="新宋体" w:hAnsi="新宋体" w:eastAsia="新宋体"/>
                <w:color w:val="auto"/>
                <w:szCs w:val="21"/>
              </w:rPr>
              <w:t>项目完成（服务期满）后的服务承诺</w:t>
            </w:r>
          </w:p>
        </w:tc>
        <w:tc>
          <w:tcPr>
            <w:tcW w:w="413" w:type="pct"/>
            <w:gridSpan w:val="2"/>
            <w:vAlign w:val="center"/>
          </w:tcPr>
          <w:p>
            <w:pPr>
              <w:jc w:val="center"/>
              <w:rPr>
                <w:rFonts w:hint="default" w:ascii="宋体" w:hAnsi="宋体" w:eastAsia="宋体" w:cs="宋体"/>
                <w:color w:val="auto"/>
                <w:sz w:val="21"/>
                <w:szCs w:val="21"/>
                <w:highlight w:val="none"/>
                <w:lang w:val="en-US" w:eastAsia="zh-CN"/>
              </w:rPr>
            </w:pPr>
            <w:r>
              <w:rPr>
                <w:rFonts w:hint="eastAsia" w:ascii="新宋体" w:hAnsi="新宋体" w:eastAsia="新宋体"/>
                <w:color w:val="auto"/>
                <w:szCs w:val="21"/>
              </w:rPr>
              <w:t>5</w:t>
            </w:r>
          </w:p>
        </w:tc>
        <w:tc>
          <w:tcPr>
            <w:tcW w:w="2909" w:type="pct"/>
            <w:vAlign w:val="top"/>
          </w:tcPr>
          <w:p>
            <w:pPr>
              <w:rPr>
                <w:rFonts w:ascii="新宋体" w:hAnsi="新宋体" w:eastAsia="新宋体"/>
                <w:color w:val="auto"/>
                <w:szCs w:val="21"/>
              </w:rPr>
            </w:pPr>
            <w:r>
              <w:rPr>
                <w:rFonts w:hint="eastAsia" w:ascii="新宋体" w:hAnsi="新宋体" w:eastAsia="新宋体"/>
                <w:color w:val="auto"/>
                <w:szCs w:val="21"/>
              </w:rPr>
              <w:t>（一）评审内容：由投标单位做出服务书面承诺。即对服务内容工作的服务保障。</w:t>
            </w:r>
          </w:p>
          <w:p>
            <w:pPr>
              <w:rPr>
                <w:rFonts w:ascii="新宋体" w:hAnsi="新宋体" w:eastAsia="新宋体"/>
                <w:color w:val="auto"/>
                <w:szCs w:val="21"/>
              </w:rPr>
            </w:pPr>
            <w:r>
              <w:rPr>
                <w:rFonts w:hint="eastAsia" w:ascii="新宋体" w:hAnsi="新宋体" w:eastAsia="新宋体"/>
                <w:color w:val="auto"/>
                <w:szCs w:val="21"/>
              </w:rPr>
              <w:t>（二）评分标准：</w:t>
            </w:r>
          </w:p>
          <w:p>
            <w:pPr>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在满足以上要求的</w:t>
            </w:r>
            <w:r>
              <w:rPr>
                <w:rFonts w:hint="eastAsia" w:ascii="宋体" w:hAnsi="宋体" w:cs="宋体"/>
                <w:color w:val="auto"/>
                <w:szCs w:val="21"/>
                <w:highlight w:val="none"/>
                <w:lang w:eastAsia="zh-CN"/>
              </w:rPr>
              <w:t>基础上，专家</w:t>
            </w:r>
            <w:r>
              <w:rPr>
                <w:rFonts w:hint="eastAsia" w:ascii="宋体" w:hAnsi="宋体" w:cs="宋体"/>
                <w:color w:val="auto"/>
                <w:szCs w:val="21"/>
                <w:highlight w:val="none"/>
              </w:rPr>
              <w:t>根据各供应商的具体响应内容按照量化的评审因素指标进一步评审，</w:t>
            </w:r>
            <w:r>
              <w:rPr>
                <w:rFonts w:hint="eastAsia" w:ascii="宋体" w:hAnsi="宋体" w:eastAsia="宋体" w:cs="宋体"/>
                <w:color w:val="auto"/>
                <w:sz w:val="21"/>
                <w:szCs w:val="21"/>
                <w:highlight w:val="none"/>
              </w:rPr>
              <w:t>评审为优（</w:t>
            </w:r>
            <w:r>
              <w:rPr>
                <w:rFonts w:hint="eastAsia" w:ascii="新宋体" w:hAnsi="新宋体" w:eastAsia="新宋体"/>
                <w:color w:val="auto"/>
                <w:szCs w:val="21"/>
              </w:rPr>
              <w:t>项目完成（服务期满）后的服务承诺</w:t>
            </w:r>
            <w:r>
              <w:rPr>
                <w:rFonts w:hint="eastAsia" w:ascii="宋体" w:hAnsi="宋体" w:eastAsia="宋体" w:cs="宋体"/>
                <w:color w:val="auto"/>
                <w:sz w:val="21"/>
                <w:szCs w:val="21"/>
                <w:highlight w:val="none"/>
              </w:rPr>
              <w:t>内容全面、针对性强、可操作性强）</w:t>
            </w:r>
            <w:r>
              <w:rPr>
                <w:rFonts w:hint="eastAsia" w:ascii="宋体" w:hAnsi="宋体" w:cs="宋体"/>
                <w:color w:val="auto"/>
                <w:sz w:val="21"/>
                <w:szCs w:val="21"/>
                <w:highlight w:val="none"/>
                <w:lang w:eastAsia="zh-CN"/>
              </w:rPr>
              <w:t>加</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;评审为良（</w:t>
            </w:r>
            <w:r>
              <w:rPr>
                <w:rFonts w:hint="eastAsia" w:ascii="新宋体" w:hAnsi="新宋体" w:eastAsia="新宋体"/>
                <w:color w:val="auto"/>
                <w:szCs w:val="21"/>
              </w:rPr>
              <w:t>项目完成（服务期满）后的服务承诺</w:t>
            </w:r>
            <w:r>
              <w:rPr>
                <w:rFonts w:hint="eastAsia" w:ascii="新宋体" w:hAnsi="新宋体" w:eastAsia="新宋体"/>
                <w:color w:val="auto"/>
                <w:szCs w:val="21"/>
                <w:lang w:eastAsia="zh-CN"/>
              </w:rPr>
              <w:t>内容</w:t>
            </w:r>
            <w:r>
              <w:rPr>
                <w:rFonts w:hint="eastAsia" w:ascii="宋体" w:hAnsi="宋体" w:eastAsia="宋体" w:cs="宋体"/>
                <w:color w:val="auto"/>
                <w:sz w:val="21"/>
                <w:szCs w:val="21"/>
                <w:highlight w:val="none"/>
              </w:rPr>
              <w:t>较全面、针对性较强、可操作性较强）</w:t>
            </w:r>
            <w:r>
              <w:rPr>
                <w:rFonts w:hint="eastAsia" w:ascii="宋体" w:hAnsi="宋体" w:cs="宋体"/>
                <w:color w:val="auto"/>
                <w:sz w:val="21"/>
                <w:szCs w:val="21"/>
                <w:highlight w:val="none"/>
                <w:lang w:eastAsia="zh-CN"/>
              </w:rPr>
              <w:t>加</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;评审为中（</w:t>
            </w:r>
            <w:r>
              <w:rPr>
                <w:rFonts w:hint="eastAsia" w:ascii="新宋体" w:hAnsi="新宋体" w:eastAsia="新宋体"/>
                <w:color w:val="auto"/>
                <w:szCs w:val="21"/>
              </w:rPr>
              <w:t>项目完成（服务期满）后的服务承诺</w:t>
            </w:r>
            <w:r>
              <w:rPr>
                <w:rFonts w:hint="eastAsia" w:ascii="宋体" w:hAnsi="宋体" w:eastAsia="宋体" w:cs="宋体"/>
                <w:color w:val="auto"/>
                <w:sz w:val="21"/>
                <w:szCs w:val="21"/>
                <w:highlight w:val="none"/>
              </w:rPr>
              <w:t>内容完整性、针对性、可操作性均一般）</w:t>
            </w:r>
            <w:r>
              <w:rPr>
                <w:rFonts w:hint="eastAsia" w:ascii="宋体" w:hAnsi="宋体" w:cs="宋体"/>
                <w:color w:val="auto"/>
                <w:sz w:val="21"/>
                <w:szCs w:val="21"/>
                <w:highlight w:val="none"/>
                <w:lang w:eastAsia="zh-CN"/>
              </w:rPr>
              <w:t>加</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;评审为差（</w:t>
            </w:r>
            <w:r>
              <w:rPr>
                <w:rFonts w:hint="eastAsia" w:ascii="新宋体" w:hAnsi="新宋体" w:eastAsia="新宋体"/>
                <w:color w:val="auto"/>
                <w:szCs w:val="21"/>
              </w:rPr>
              <w:t>项目完成（服务期满）后的服务承诺</w:t>
            </w:r>
            <w:r>
              <w:rPr>
                <w:rFonts w:hint="eastAsia" w:ascii="宋体" w:hAnsi="宋体" w:eastAsia="宋体" w:cs="宋体"/>
                <w:color w:val="auto"/>
                <w:sz w:val="21"/>
                <w:szCs w:val="21"/>
                <w:highlight w:val="none"/>
              </w:rPr>
              <w:t>内容不完善、针对性较弱、可操作性不强）的不加分；评审为差专家须书面说明理由，并记录在档。</w:t>
            </w:r>
            <w:r>
              <w:rPr>
                <w:rFonts w:hint="eastAsia" w:ascii="宋体" w:hAnsi="宋体" w:eastAsia="宋体" w:cs="宋体"/>
                <w:b w:val="0"/>
                <w:bCs w:val="0"/>
                <w:color w:val="auto"/>
                <w:szCs w:val="21"/>
                <w:highlight w:val="none"/>
              </w:rPr>
              <w:t>未提供具体说明的不得分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896" w:type="pct"/>
            <w:gridSpan w:val="2"/>
            <w:vAlign w:val="center"/>
          </w:tcPr>
          <w:p>
            <w:pPr>
              <w:jc w:val="center"/>
              <w:rPr>
                <w:rFonts w:hint="eastAsia" w:ascii="宋体" w:hAnsi="宋体" w:eastAsia="宋体" w:cs="宋体"/>
                <w:color w:val="auto"/>
                <w:sz w:val="21"/>
                <w:szCs w:val="21"/>
                <w:highlight w:val="none"/>
              </w:rPr>
            </w:pPr>
            <w:r>
              <w:rPr>
                <w:rFonts w:hint="eastAsia" w:ascii="新宋体" w:hAnsi="新宋体" w:eastAsia="新宋体"/>
                <w:color w:val="auto"/>
                <w:szCs w:val="21"/>
              </w:rPr>
              <w:t>违约承诺</w:t>
            </w:r>
          </w:p>
        </w:tc>
        <w:tc>
          <w:tcPr>
            <w:tcW w:w="413" w:type="pct"/>
            <w:gridSpan w:val="2"/>
            <w:vAlign w:val="center"/>
          </w:tcPr>
          <w:p>
            <w:pPr>
              <w:jc w:val="center"/>
              <w:rPr>
                <w:rFonts w:hint="eastAsia" w:ascii="宋体" w:hAnsi="宋体" w:eastAsia="宋体" w:cs="宋体"/>
                <w:color w:val="auto"/>
                <w:sz w:val="21"/>
                <w:szCs w:val="21"/>
                <w:highlight w:val="none"/>
              </w:rPr>
            </w:pPr>
            <w:r>
              <w:rPr>
                <w:rFonts w:hint="eastAsia" w:ascii="新宋体" w:hAnsi="新宋体" w:eastAsia="新宋体"/>
                <w:color w:val="auto"/>
                <w:szCs w:val="21"/>
              </w:rPr>
              <w:t>5</w:t>
            </w:r>
          </w:p>
        </w:tc>
        <w:tc>
          <w:tcPr>
            <w:tcW w:w="2909" w:type="pct"/>
            <w:vAlign w:val="top"/>
          </w:tcPr>
          <w:p>
            <w:pPr>
              <w:rPr>
                <w:rFonts w:ascii="新宋体" w:hAnsi="新宋体" w:eastAsia="新宋体"/>
                <w:color w:val="auto"/>
                <w:szCs w:val="21"/>
              </w:rPr>
            </w:pPr>
            <w:r>
              <w:rPr>
                <w:rFonts w:hint="eastAsia" w:ascii="新宋体" w:hAnsi="新宋体" w:eastAsia="新宋体"/>
                <w:color w:val="auto"/>
                <w:szCs w:val="21"/>
              </w:rPr>
              <w:t>（一）评审内容：根据招标文件需求，做出相应的违约承诺，包括</w:t>
            </w:r>
            <w:r>
              <w:rPr>
                <w:rFonts w:hint="eastAsia" w:ascii="新宋体" w:hAnsi="新宋体" w:eastAsia="新宋体"/>
                <w:color w:val="auto"/>
                <w:szCs w:val="21"/>
                <w:lang w:val="en-US" w:eastAsia="zh-CN"/>
              </w:rPr>
              <w:t>1）</w:t>
            </w:r>
            <w:r>
              <w:rPr>
                <w:rFonts w:hint="eastAsia" w:ascii="新宋体" w:hAnsi="新宋体" w:eastAsia="新宋体"/>
                <w:color w:val="auto"/>
                <w:szCs w:val="21"/>
              </w:rPr>
              <w:t>诚信承诺、</w:t>
            </w:r>
            <w:r>
              <w:rPr>
                <w:rFonts w:hint="eastAsia" w:ascii="新宋体" w:hAnsi="新宋体" w:eastAsia="新宋体"/>
                <w:color w:val="auto"/>
                <w:szCs w:val="21"/>
                <w:lang w:val="en-US" w:eastAsia="zh-CN"/>
              </w:rPr>
              <w:t>2）</w:t>
            </w:r>
            <w:r>
              <w:rPr>
                <w:rFonts w:hint="eastAsia" w:ascii="新宋体" w:hAnsi="新宋体" w:eastAsia="新宋体"/>
                <w:color w:val="auto"/>
                <w:szCs w:val="21"/>
              </w:rPr>
              <w:t>投标履约承诺等。</w:t>
            </w:r>
          </w:p>
          <w:p>
            <w:pPr>
              <w:rPr>
                <w:rFonts w:ascii="新宋体" w:hAnsi="新宋体" w:eastAsia="新宋体"/>
                <w:color w:val="auto"/>
                <w:szCs w:val="21"/>
              </w:rPr>
            </w:pPr>
            <w:r>
              <w:rPr>
                <w:rFonts w:hint="eastAsia" w:ascii="新宋体" w:hAnsi="新宋体" w:eastAsia="新宋体"/>
                <w:color w:val="auto"/>
                <w:szCs w:val="21"/>
              </w:rPr>
              <w:t>（二）评分标准：</w:t>
            </w:r>
          </w:p>
          <w:p>
            <w:pP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在满足以上两项要求的</w:t>
            </w:r>
            <w:r>
              <w:rPr>
                <w:rFonts w:hint="eastAsia" w:ascii="宋体" w:hAnsi="宋体" w:cs="宋体"/>
                <w:color w:val="auto"/>
                <w:szCs w:val="21"/>
                <w:highlight w:val="none"/>
                <w:lang w:eastAsia="zh-CN"/>
              </w:rPr>
              <w:t>基础上，专家</w:t>
            </w:r>
            <w:r>
              <w:rPr>
                <w:rFonts w:hint="eastAsia" w:ascii="宋体" w:hAnsi="宋体" w:cs="宋体"/>
                <w:color w:val="auto"/>
                <w:szCs w:val="21"/>
                <w:highlight w:val="none"/>
              </w:rPr>
              <w:t>根据各供应商的具体响应内容按照量化的评审因素指标进一步评审，</w:t>
            </w:r>
            <w:r>
              <w:rPr>
                <w:rFonts w:hint="eastAsia" w:ascii="宋体" w:hAnsi="宋体" w:eastAsia="宋体" w:cs="宋体"/>
                <w:color w:val="auto"/>
                <w:sz w:val="21"/>
                <w:szCs w:val="21"/>
                <w:highlight w:val="none"/>
              </w:rPr>
              <w:t>评审为优（</w:t>
            </w:r>
            <w:r>
              <w:rPr>
                <w:rFonts w:hint="eastAsia" w:ascii="新宋体" w:hAnsi="新宋体" w:eastAsia="新宋体"/>
                <w:color w:val="auto"/>
                <w:szCs w:val="21"/>
                <w:lang w:eastAsia="zh-CN"/>
              </w:rPr>
              <w:t>违约承诺</w:t>
            </w:r>
            <w:r>
              <w:rPr>
                <w:rFonts w:hint="eastAsia" w:ascii="宋体" w:hAnsi="宋体" w:eastAsia="宋体" w:cs="宋体"/>
                <w:color w:val="auto"/>
                <w:sz w:val="21"/>
                <w:szCs w:val="21"/>
                <w:highlight w:val="none"/>
              </w:rPr>
              <w:t>内容全面、针对性强、可操作性强）</w:t>
            </w:r>
            <w:r>
              <w:rPr>
                <w:rFonts w:hint="eastAsia" w:ascii="宋体" w:hAnsi="宋体" w:cs="宋体"/>
                <w:color w:val="auto"/>
                <w:sz w:val="21"/>
                <w:szCs w:val="21"/>
                <w:highlight w:val="none"/>
                <w:lang w:eastAsia="zh-CN"/>
              </w:rPr>
              <w:t>加</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;评审为良（</w:t>
            </w:r>
            <w:r>
              <w:rPr>
                <w:rFonts w:hint="eastAsia" w:ascii="新宋体" w:hAnsi="新宋体" w:eastAsia="新宋体"/>
                <w:color w:val="auto"/>
                <w:szCs w:val="21"/>
                <w:lang w:eastAsia="zh-CN"/>
              </w:rPr>
              <w:t>违约承诺内容</w:t>
            </w:r>
            <w:r>
              <w:rPr>
                <w:rFonts w:hint="eastAsia" w:ascii="宋体" w:hAnsi="宋体" w:eastAsia="宋体" w:cs="宋体"/>
                <w:color w:val="auto"/>
                <w:sz w:val="21"/>
                <w:szCs w:val="21"/>
                <w:highlight w:val="none"/>
              </w:rPr>
              <w:t>较全面、针对性较强、可操作性较强）</w:t>
            </w:r>
            <w:r>
              <w:rPr>
                <w:rFonts w:hint="eastAsia" w:ascii="宋体" w:hAnsi="宋体" w:cs="宋体"/>
                <w:color w:val="auto"/>
                <w:sz w:val="21"/>
                <w:szCs w:val="21"/>
                <w:highlight w:val="none"/>
                <w:lang w:eastAsia="zh-CN"/>
              </w:rPr>
              <w:t>加</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;评审为中（</w:t>
            </w:r>
            <w:r>
              <w:rPr>
                <w:rFonts w:hint="eastAsia" w:ascii="新宋体" w:hAnsi="新宋体" w:eastAsia="新宋体"/>
                <w:color w:val="auto"/>
                <w:szCs w:val="21"/>
                <w:lang w:eastAsia="zh-CN"/>
              </w:rPr>
              <w:t>违约承诺</w:t>
            </w:r>
            <w:r>
              <w:rPr>
                <w:rFonts w:hint="eastAsia" w:ascii="宋体" w:hAnsi="宋体" w:eastAsia="宋体" w:cs="宋体"/>
                <w:color w:val="auto"/>
                <w:sz w:val="21"/>
                <w:szCs w:val="21"/>
                <w:highlight w:val="none"/>
              </w:rPr>
              <w:t>内容完整性、针对性、可操作性均一般）</w:t>
            </w:r>
            <w:r>
              <w:rPr>
                <w:rFonts w:hint="eastAsia" w:ascii="宋体" w:hAnsi="宋体" w:cs="宋体"/>
                <w:color w:val="auto"/>
                <w:sz w:val="21"/>
                <w:szCs w:val="21"/>
                <w:highlight w:val="none"/>
                <w:lang w:eastAsia="zh-CN"/>
              </w:rPr>
              <w:t>加</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;评审为差（</w:t>
            </w:r>
            <w:r>
              <w:rPr>
                <w:rFonts w:hint="eastAsia" w:ascii="新宋体" w:hAnsi="新宋体" w:eastAsia="新宋体"/>
                <w:color w:val="auto"/>
                <w:szCs w:val="21"/>
                <w:lang w:eastAsia="zh-CN"/>
              </w:rPr>
              <w:t>违约承诺</w:t>
            </w:r>
            <w:r>
              <w:rPr>
                <w:rFonts w:hint="eastAsia" w:ascii="宋体" w:hAnsi="宋体" w:eastAsia="宋体" w:cs="宋体"/>
                <w:color w:val="auto"/>
                <w:sz w:val="21"/>
                <w:szCs w:val="21"/>
                <w:highlight w:val="none"/>
              </w:rPr>
              <w:t>内容不完善、针对性较弱、可操作性不强）的不加分；评审为差专家须书面说明理由，并记录在档。</w:t>
            </w:r>
            <w:r>
              <w:rPr>
                <w:rFonts w:hint="eastAsia" w:ascii="宋体" w:hAnsi="宋体" w:eastAsia="宋体" w:cs="宋体"/>
                <w:b w:val="0"/>
                <w:bCs w:val="0"/>
                <w:color w:val="auto"/>
                <w:szCs w:val="21"/>
                <w:highlight w:val="none"/>
              </w:rPr>
              <w:t>未提供具体说明的不得分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713" w:type="pct"/>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商务部分</w:t>
            </w:r>
          </w:p>
        </w:tc>
        <w:tc>
          <w:tcPr>
            <w:tcW w:w="290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9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权重</w:t>
            </w:r>
          </w:p>
        </w:tc>
        <w:tc>
          <w:tcPr>
            <w:tcW w:w="290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896" w:type="pct"/>
            <w:gridSpan w:val="2"/>
            <w:shd w:val="clear" w:color="auto" w:fill="auto"/>
            <w:vAlign w:val="center"/>
          </w:tcPr>
          <w:p>
            <w:pPr>
              <w:jc w:val="center"/>
              <w:rPr>
                <w:rFonts w:hint="eastAsia" w:ascii="宋体" w:hAnsi="宋体" w:eastAsia="新宋体" w:cs="宋体"/>
                <w:color w:val="auto"/>
                <w:sz w:val="21"/>
                <w:szCs w:val="21"/>
                <w:highlight w:val="none"/>
                <w:lang w:eastAsia="zh-CN"/>
              </w:rPr>
            </w:pPr>
            <w:r>
              <w:rPr>
                <w:rFonts w:hint="eastAsia" w:ascii="新宋体" w:hAnsi="新宋体" w:eastAsia="新宋体"/>
                <w:color w:val="auto"/>
                <w:szCs w:val="21"/>
              </w:rPr>
              <w:t>拟安排的项目负责人情况</w:t>
            </w:r>
            <w:r>
              <w:rPr>
                <w:rFonts w:hint="eastAsia" w:ascii="新宋体" w:hAnsi="新宋体" w:eastAsia="新宋体"/>
                <w:color w:val="auto"/>
                <w:szCs w:val="21"/>
                <w:lang w:eastAsia="zh-CN"/>
              </w:rPr>
              <w:t>（仅限一人）</w:t>
            </w:r>
          </w:p>
        </w:tc>
        <w:tc>
          <w:tcPr>
            <w:tcW w:w="413" w:type="pct"/>
            <w:gridSpan w:val="2"/>
            <w:shd w:val="clear" w:color="auto" w:fill="auto"/>
            <w:vAlign w:val="center"/>
          </w:tcPr>
          <w:p>
            <w:pPr>
              <w:jc w:val="center"/>
              <w:rPr>
                <w:rFonts w:hint="default" w:ascii="宋体" w:hAnsi="宋体" w:eastAsia="宋体" w:cs="宋体"/>
                <w:color w:val="auto"/>
                <w:sz w:val="21"/>
                <w:szCs w:val="21"/>
                <w:highlight w:val="none"/>
                <w:lang w:val="en-US" w:eastAsia="zh-CN"/>
              </w:rPr>
            </w:pPr>
            <w:r>
              <w:rPr>
                <w:rFonts w:hint="eastAsia" w:ascii="新宋体" w:hAnsi="新宋体" w:eastAsia="新宋体"/>
                <w:color w:val="auto"/>
                <w:szCs w:val="21"/>
              </w:rPr>
              <w:t>10</w:t>
            </w:r>
          </w:p>
        </w:tc>
        <w:tc>
          <w:tcPr>
            <w:tcW w:w="2909" w:type="pct"/>
            <w:shd w:val="clear" w:color="auto" w:fill="auto"/>
            <w:vAlign w:val="top"/>
          </w:tcPr>
          <w:p>
            <w:pPr>
              <w:rPr>
                <w:rFonts w:ascii="新宋体" w:hAnsi="新宋体" w:eastAsia="新宋体"/>
                <w:color w:val="auto"/>
                <w:szCs w:val="21"/>
              </w:rPr>
            </w:pPr>
            <w:r>
              <w:rPr>
                <w:rFonts w:hint="eastAsia" w:ascii="新宋体" w:hAnsi="新宋体" w:eastAsia="新宋体"/>
                <w:color w:val="auto"/>
                <w:szCs w:val="21"/>
              </w:rPr>
              <w:t>（一）评分内容：</w:t>
            </w:r>
          </w:p>
          <w:p>
            <w:pPr>
              <w:rPr>
                <w:rFonts w:ascii="新宋体" w:hAnsi="新宋体" w:eastAsia="新宋体"/>
                <w:color w:val="auto"/>
                <w:szCs w:val="21"/>
              </w:rPr>
            </w:pPr>
            <w:r>
              <w:rPr>
                <w:rFonts w:hint="eastAsia" w:ascii="新宋体" w:hAnsi="新宋体" w:eastAsia="新宋体"/>
                <w:color w:val="auto"/>
                <w:szCs w:val="21"/>
              </w:rPr>
              <w:t>1.本项目负责人具备全日制本科或以上学历得2分，其它学历得1分，此项最高得2分；</w:t>
            </w:r>
          </w:p>
          <w:p>
            <w:pPr>
              <w:rPr>
                <w:rFonts w:ascii="新宋体" w:hAnsi="新宋体" w:eastAsia="新宋体"/>
                <w:color w:val="auto"/>
                <w:szCs w:val="21"/>
              </w:rPr>
            </w:pPr>
            <w:r>
              <w:rPr>
                <w:rFonts w:hint="eastAsia" w:ascii="新宋体" w:hAnsi="新宋体" w:eastAsia="新宋体"/>
                <w:color w:val="auto"/>
                <w:szCs w:val="21"/>
              </w:rPr>
              <w:t>2.本项目负责人具备体育局或残联颁发的体育健身指导员资格证书得3分；</w:t>
            </w:r>
          </w:p>
          <w:p>
            <w:pPr>
              <w:rPr>
                <w:rFonts w:ascii="新宋体" w:hAnsi="新宋体" w:eastAsia="新宋体"/>
                <w:color w:val="auto"/>
                <w:szCs w:val="21"/>
              </w:rPr>
            </w:pPr>
            <w:r>
              <w:rPr>
                <w:rFonts w:hint="eastAsia" w:ascii="新宋体" w:hAnsi="新宋体" w:eastAsia="新宋体"/>
                <w:color w:val="auto"/>
                <w:szCs w:val="21"/>
              </w:rPr>
              <w:t>3.本项目负责人担任过同类活动管理经验得3分；</w:t>
            </w:r>
          </w:p>
          <w:p>
            <w:pPr>
              <w:rPr>
                <w:rFonts w:ascii="新宋体" w:hAnsi="新宋体" w:eastAsia="新宋体"/>
                <w:color w:val="auto"/>
                <w:szCs w:val="21"/>
              </w:rPr>
            </w:pPr>
            <w:r>
              <w:rPr>
                <w:rFonts w:hint="eastAsia" w:ascii="新宋体" w:hAnsi="新宋体" w:eastAsia="新宋体"/>
                <w:color w:val="auto"/>
                <w:szCs w:val="21"/>
              </w:rPr>
              <w:t>4.本项目负责人获得过市级或以上体育活动荣誉或表彰的得2分；</w:t>
            </w:r>
          </w:p>
          <w:p>
            <w:pPr>
              <w:rPr>
                <w:rFonts w:ascii="新宋体" w:hAnsi="新宋体" w:eastAsia="新宋体"/>
                <w:color w:val="auto"/>
                <w:szCs w:val="21"/>
              </w:rPr>
            </w:pPr>
            <w:r>
              <w:rPr>
                <w:rFonts w:hint="eastAsia" w:ascii="新宋体" w:hAnsi="新宋体" w:eastAsia="新宋体"/>
                <w:color w:val="auto"/>
                <w:szCs w:val="21"/>
              </w:rPr>
              <w:t>（二）评分依据：</w:t>
            </w:r>
          </w:p>
          <w:p>
            <w:pPr>
              <w:widowControl/>
              <w:jc w:val="left"/>
              <w:rPr>
                <w:rFonts w:hint="eastAsia" w:ascii="新宋体" w:hAnsi="新宋体" w:eastAsia="新宋体"/>
                <w:color w:val="auto"/>
                <w:szCs w:val="21"/>
                <w:lang w:eastAsia="zh-CN"/>
              </w:rPr>
            </w:pPr>
            <w:r>
              <w:rPr>
                <w:rFonts w:hint="eastAsia" w:ascii="新宋体" w:hAnsi="新宋体" w:eastAsia="新宋体"/>
                <w:color w:val="auto"/>
                <w:szCs w:val="21"/>
              </w:rPr>
              <w:t>1.</w:t>
            </w:r>
            <w:r>
              <w:rPr>
                <w:rFonts w:hint="eastAsia" w:ascii="新宋体" w:hAnsi="新宋体" w:eastAsia="新宋体"/>
                <w:color w:val="auto"/>
                <w:szCs w:val="21"/>
                <w:lang w:eastAsia="zh-CN"/>
              </w:rPr>
              <w:t>提供</w:t>
            </w:r>
            <w:r>
              <w:rPr>
                <w:rFonts w:hint="eastAsia" w:ascii="新宋体" w:hAnsi="新宋体" w:eastAsia="新宋体"/>
                <w:color w:val="auto"/>
                <w:szCs w:val="21"/>
              </w:rPr>
              <w:t>投标人</w:t>
            </w:r>
            <w:r>
              <w:rPr>
                <w:rFonts w:hint="eastAsia" w:ascii="新宋体" w:hAnsi="新宋体" w:eastAsia="新宋体"/>
                <w:color w:val="auto"/>
                <w:szCs w:val="21"/>
                <w:lang w:eastAsia="zh-CN"/>
              </w:rPr>
              <w:t>为其缴纳的</w:t>
            </w:r>
            <w:r>
              <w:rPr>
                <w:rFonts w:hint="eastAsia" w:ascii="新宋体" w:hAnsi="新宋体" w:eastAsia="新宋体"/>
                <w:color w:val="auto"/>
                <w:szCs w:val="21"/>
              </w:rPr>
              <w:t>投标截止日前</w:t>
            </w:r>
            <w:r>
              <w:rPr>
                <w:rFonts w:hint="eastAsia" w:ascii="新宋体" w:hAnsi="新宋体" w:eastAsia="新宋体"/>
                <w:color w:val="auto"/>
                <w:szCs w:val="21"/>
                <w:lang w:val="en-US" w:eastAsia="zh-CN"/>
              </w:rPr>
              <w:t>2</w:t>
            </w:r>
            <w:r>
              <w:rPr>
                <w:rFonts w:hint="eastAsia" w:ascii="新宋体" w:hAnsi="新宋体" w:eastAsia="新宋体"/>
                <w:color w:val="auto"/>
                <w:szCs w:val="21"/>
              </w:rPr>
              <w:t>个月的社保购买证明</w:t>
            </w:r>
            <w:r>
              <w:rPr>
                <w:rFonts w:hint="eastAsia" w:ascii="宋体" w:hAnsi="宋体" w:cs="宋体"/>
                <w:color w:val="auto"/>
                <w:szCs w:val="21"/>
                <w:highlight w:val="none"/>
              </w:rPr>
              <w:t>（具体指投标截止日所在月的上一个月起倒算）社保缴交证明材料，</w:t>
            </w:r>
            <w:r>
              <w:rPr>
                <w:rFonts w:hint="eastAsia" w:ascii="宋体" w:hAnsi="宋体" w:cs="宋体"/>
                <w:bCs/>
                <w:color w:val="auto"/>
                <w:szCs w:val="21"/>
                <w:highlight w:val="none"/>
              </w:rPr>
              <w:t>如社保材料因社保部门原因暂时无法取得，则可以往前顺延一个月，但须提供社保部门出具的相关有效证明材料。</w:t>
            </w:r>
            <w:r>
              <w:rPr>
                <w:rFonts w:hint="eastAsia" w:ascii="宋体" w:hAnsi="宋体" w:cs="宋体"/>
                <w:color w:val="auto"/>
                <w:szCs w:val="21"/>
                <w:highlight w:val="none"/>
              </w:rPr>
              <w:t>否则本项直接计0分。若</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成立不足</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个月的，需提供成立情况说明函（格式自拟），无需提供相关人员社保，亦可得分</w:t>
            </w:r>
            <w:r>
              <w:rPr>
                <w:rFonts w:hint="eastAsia" w:ascii="新宋体" w:hAnsi="新宋体" w:eastAsia="新宋体"/>
                <w:color w:val="auto"/>
                <w:szCs w:val="21"/>
              </w:rPr>
              <w:t>、学历证书</w:t>
            </w:r>
            <w:r>
              <w:rPr>
                <w:rFonts w:hint="eastAsia" w:ascii="新宋体" w:hAnsi="新宋体" w:eastAsia="新宋体"/>
                <w:color w:val="auto"/>
                <w:szCs w:val="21"/>
                <w:lang w:eastAsia="zh-CN"/>
              </w:rPr>
              <w:t>、资格证书</w:t>
            </w:r>
            <w:r>
              <w:rPr>
                <w:rFonts w:hint="eastAsia" w:ascii="新宋体" w:hAnsi="新宋体" w:eastAsia="新宋体"/>
                <w:color w:val="auto"/>
                <w:szCs w:val="21"/>
              </w:rPr>
              <w:t>等相关证明资料作为得分依据。</w:t>
            </w:r>
          </w:p>
          <w:p>
            <w:pPr>
              <w:rPr>
                <w:rFonts w:ascii="新宋体" w:hAnsi="新宋体" w:eastAsia="新宋体"/>
                <w:color w:val="auto"/>
                <w:szCs w:val="21"/>
              </w:rPr>
            </w:pPr>
            <w:r>
              <w:rPr>
                <w:rFonts w:hint="eastAsia" w:ascii="新宋体" w:hAnsi="新宋体" w:eastAsia="新宋体"/>
                <w:color w:val="auto"/>
                <w:szCs w:val="21"/>
              </w:rPr>
              <w:t>2.以上资料均要求提供</w:t>
            </w:r>
            <w:r>
              <w:rPr>
                <w:rFonts w:hint="eastAsia" w:ascii="新宋体" w:hAnsi="新宋体" w:eastAsia="新宋体"/>
                <w:color w:val="auto"/>
                <w:szCs w:val="21"/>
                <w:lang w:eastAsia="zh-CN"/>
              </w:rPr>
              <w:t>复印</w:t>
            </w:r>
            <w:r>
              <w:rPr>
                <w:rFonts w:hint="eastAsia" w:ascii="新宋体" w:hAnsi="新宋体" w:eastAsia="新宋体"/>
                <w:color w:val="auto"/>
                <w:szCs w:val="21"/>
              </w:rPr>
              <w:t>件（或官方网站截图），原件备查。评分中出现无证明资料或专家无法凭所提供资料判断是否得分的情况，一律作不得分处理。</w:t>
            </w:r>
          </w:p>
          <w:p>
            <w:pPr>
              <w:rPr>
                <w:rFonts w:hint="eastAsia" w:ascii="宋体" w:hAnsi="宋体" w:eastAsia="宋体" w:cs="宋体"/>
                <w:color w:val="auto"/>
                <w:sz w:val="21"/>
                <w:szCs w:val="21"/>
                <w:highlight w:val="none"/>
              </w:rPr>
            </w:pPr>
            <w:r>
              <w:rPr>
                <w:rFonts w:hint="eastAsia" w:ascii="新宋体" w:hAnsi="新宋体" w:eastAsia="新宋体"/>
                <w:color w:val="auto"/>
                <w:szCs w:val="21"/>
              </w:rPr>
              <w:t>3.如涉及考察人员管理经验，要求提供项目合同关键信息作为得分依据，通过合同关键信息无法判断是否得分的，还须同时提供合同甲方出具的证明文件。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2"/>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896" w:type="pct"/>
            <w:gridSpan w:val="2"/>
            <w:shd w:val="clear" w:color="auto" w:fill="auto"/>
            <w:vAlign w:val="center"/>
          </w:tcPr>
          <w:p>
            <w:pPr>
              <w:jc w:val="center"/>
              <w:rPr>
                <w:rFonts w:hint="eastAsia" w:ascii="宋体" w:hAnsi="宋体" w:eastAsia="新宋体" w:cs="宋体"/>
                <w:color w:val="auto"/>
                <w:sz w:val="21"/>
                <w:szCs w:val="21"/>
                <w:highlight w:val="none"/>
                <w:lang w:eastAsia="zh-CN"/>
              </w:rPr>
            </w:pPr>
            <w:r>
              <w:rPr>
                <w:rFonts w:hint="eastAsia" w:ascii="新宋体" w:hAnsi="新宋体" w:eastAsia="新宋体"/>
                <w:color w:val="auto"/>
                <w:szCs w:val="21"/>
              </w:rPr>
              <w:t>拟安排的项目团队成员情况</w:t>
            </w:r>
            <w:r>
              <w:rPr>
                <w:rFonts w:hint="eastAsia" w:ascii="新宋体" w:hAnsi="新宋体" w:eastAsia="新宋体"/>
                <w:color w:val="auto"/>
                <w:szCs w:val="21"/>
                <w:lang w:eastAsia="zh-CN"/>
              </w:rPr>
              <w:t>（项目负责人除外）</w:t>
            </w:r>
          </w:p>
        </w:tc>
        <w:tc>
          <w:tcPr>
            <w:tcW w:w="413" w:type="pct"/>
            <w:gridSpan w:val="2"/>
            <w:shd w:val="clear" w:color="auto" w:fill="auto"/>
            <w:vAlign w:val="center"/>
          </w:tcPr>
          <w:p>
            <w:pPr>
              <w:jc w:val="center"/>
              <w:rPr>
                <w:rFonts w:hint="eastAsia" w:ascii="宋体" w:hAnsi="宋体" w:eastAsia="宋体" w:cs="宋体"/>
                <w:color w:val="auto"/>
                <w:sz w:val="21"/>
                <w:szCs w:val="21"/>
                <w:highlight w:val="none"/>
              </w:rPr>
            </w:pPr>
            <w:r>
              <w:rPr>
                <w:rFonts w:hint="eastAsia" w:ascii="新宋体" w:hAnsi="新宋体" w:eastAsia="新宋体"/>
                <w:color w:val="auto"/>
                <w:szCs w:val="21"/>
              </w:rPr>
              <w:t>1</w:t>
            </w:r>
            <w:r>
              <w:rPr>
                <w:rFonts w:hint="eastAsia" w:ascii="新宋体" w:hAnsi="新宋体" w:eastAsia="新宋体"/>
                <w:color w:val="auto"/>
                <w:szCs w:val="21"/>
                <w:lang w:val="en-US" w:eastAsia="zh-CN"/>
              </w:rPr>
              <w:t>5</w:t>
            </w:r>
          </w:p>
        </w:tc>
        <w:tc>
          <w:tcPr>
            <w:tcW w:w="2909" w:type="pct"/>
            <w:shd w:val="clear" w:color="auto" w:fill="auto"/>
            <w:vAlign w:val="top"/>
          </w:tcPr>
          <w:p>
            <w:pPr>
              <w:rPr>
                <w:rFonts w:hint="eastAsia" w:ascii="新宋体" w:hAnsi="新宋体" w:eastAsia="新宋体"/>
                <w:color w:val="auto"/>
                <w:szCs w:val="21"/>
                <w:lang w:eastAsia="zh-CN"/>
              </w:rPr>
            </w:pPr>
            <w:r>
              <w:rPr>
                <w:rFonts w:hint="eastAsia" w:ascii="新宋体" w:hAnsi="新宋体" w:eastAsia="新宋体"/>
                <w:color w:val="auto"/>
                <w:szCs w:val="21"/>
              </w:rPr>
              <w:t>（一）评分内容：团队成员总人数3人及以上得</w:t>
            </w:r>
            <w:r>
              <w:rPr>
                <w:rFonts w:hint="eastAsia" w:ascii="新宋体" w:hAnsi="新宋体" w:eastAsia="新宋体"/>
                <w:color w:val="auto"/>
                <w:szCs w:val="21"/>
                <w:lang w:val="en-US" w:eastAsia="zh-CN"/>
              </w:rPr>
              <w:t>5</w:t>
            </w:r>
            <w:r>
              <w:rPr>
                <w:rFonts w:hint="eastAsia" w:ascii="新宋体" w:hAnsi="新宋体" w:eastAsia="新宋体"/>
                <w:color w:val="auto"/>
                <w:szCs w:val="21"/>
              </w:rPr>
              <w:t>分，未达到人数要求的，</w:t>
            </w:r>
            <w:r>
              <w:rPr>
                <w:rFonts w:hint="eastAsia" w:ascii="新宋体" w:hAnsi="新宋体" w:eastAsia="新宋体"/>
                <w:color w:val="auto"/>
                <w:szCs w:val="21"/>
                <w:lang w:eastAsia="zh-CN"/>
              </w:rPr>
              <w:t>本项</w:t>
            </w:r>
            <w:r>
              <w:rPr>
                <w:rFonts w:hint="eastAsia" w:ascii="新宋体" w:hAnsi="新宋体" w:eastAsia="新宋体"/>
                <w:color w:val="auto"/>
                <w:szCs w:val="21"/>
              </w:rPr>
              <w:t>不得分</w:t>
            </w:r>
            <w:r>
              <w:rPr>
                <w:rFonts w:hint="eastAsia" w:ascii="新宋体" w:hAnsi="新宋体" w:eastAsia="新宋体"/>
                <w:color w:val="auto"/>
                <w:szCs w:val="21"/>
                <w:lang w:eastAsia="zh-CN"/>
              </w:rPr>
              <w:t>，在此基础上：</w:t>
            </w:r>
          </w:p>
          <w:p>
            <w:pPr>
              <w:rPr>
                <w:rFonts w:hint="eastAsia" w:ascii="新宋体" w:hAnsi="新宋体" w:eastAsia="新宋体"/>
                <w:color w:val="auto"/>
                <w:szCs w:val="21"/>
              </w:rPr>
            </w:pPr>
            <w:r>
              <w:rPr>
                <w:rFonts w:hint="eastAsia" w:ascii="新宋体" w:hAnsi="新宋体" w:eastAsia="新宋体"/>
                <w:color w:val="auto"/>
                <w:szCs w:val="21"/>
              </w:rPr>
              <w:t>1. 拟安排项目人员、后勤人员、财务人员，全部具有大专或以上学历得3分，其他情况不得分；</w:t>
            </w:r>
          </w:p>
          <w:p>
            <w:pPr>
              <w:rPr>
                <w:rFonts w:hint="eastAsia" w:ascii="新宋体" w:hAnsi="新宋体" w:eastAsia="新宋体"/>
                <w:color w:val="auto"/>
                <w:szCs w:val="21"/>
              </w:rPr>
            </w:pPr>
            <w:r>
              <w:rPr>
                <w:rFonts w:hint="eastAsia" w:ascii="新宋体" w:hAnsi="新宋体" w:eastAsia="新宋体"/>
                <w:color w:val="auto"/>
                <w:szCs w:val="21"/>
              </w:rPr>
              <w:t>2. 拟安排的本项目后勤人员应当具备体育局或残联颁发的体育健身指导员资格证得3分；</w:t>
            </w:r>
          </w:p>
          <w:p>
            <w:pPr>
              <w:rPr>
                <w:rFonts w:hint="eastAsia" w:ascii="新宋体" w:hAnsi="新宋体" w:eastAsia="新宋体"/>
                <w:color w:val="auto"/>
                <w:szCs w:val="21"/>
              </w:rPr>
            </w:pPr>
            <w:r>
              <w:rPr>
                <w:rFonts w:hint="eastAsia" w:ascii="新宋体" w:hAnsi="新宋体" w:eastAsia="新宋体"/>
                <w:color w:val="auto"/>
                <w:szCs w:val="21"/>
              </w:rPr>
              <w:t>3. 拟安排项目团队至少2人具备同类活动执行经验得2分；</w:t>
            </w:r>
          </w:p>
          <w:p>
            <w:pPr>
              <w:rPr>
                <w:rFonts w:hint="eastAsia" w:ascii="新宋体" w:hAnsi="新宋体" w:eastAsia="新宋体"/>
                <w:color w:val="auto"/>
                <w:szCs w:val="21"/>
              </w:rPr>
            </w:pPr>
            <w:r>
              <w:rPr>
                <w:rFonts w:hint="eastAsia" w:ascii="新宋体" w:hAnsi="新宋体" w:eastAsia="新宋体"/>
                <w:color w:val="auto"/>
                <w:szCs w:val="21"/>
              </w:rPr>
              <w:t>4. 拟安排项目团队至少1人具备</w:t>
            </w:r>
            <w:r>
              <w:rPr>
                <w:rFonts w:hint="eastAsia" w:ascii="新宋体" w:hAnsi="新宋体" w:eastAsia="新宋体"/>
                <w:color w:val="auto"/>
                <w:szCs w:val="21"/>
                <w:lang w:val="en-US" w:eastAsia="zh-CN"/>
              </w:rPr>
              <w:t>残疾人医学分级资质</w:t>
            </w:r>
            <w:r>
              <w:rPr>
                <w:rFonts w:hint="eastAsia" w:ascii="新宋体" w:hAnsi="新宋体" w:eastAsia="新宋体"/>
                <w:color w:val="auto"/>
                <w:szCs w:val="21"/>
              </w:rPr>
              <w:t>得2分；</w:t>
            </w:r>
          </w:p>
          <w:p>
            <w:pPr>
              <w:rPr>
                <w:rFonts w:hint="eastAsia" w:ascii="新宋体" w:hAnsi="新宋体" w:eastAsia="新宋体"/>
                <w:color w:val="auto"/>
                <w:szCs w:val="21"/>
              </w:rPr>
            </w:pPr>
            <w:r>
              <w:rPr>
                <w:rFonts w:hint="eastAsia" w:ascii="新宋体" w:hAnsi="新宋体" w:eastAsia="新宋体"/>
                <w:color w:val="auto"/>
                <w:szCs w:val="21"/>
              </w:rPr>
              <w:t>（二）评分依据：</w:t>
            </w:r>
          </w:p>
          <w:p>
            <w:pPr>
              <w:rPr>
                <w:rFonts w:hint="eastAsia" w:ascii="新宋体" w:hAnsi="新宋体" w:eastAsia="新宋体"/>
                <w:color w:val="auto"/>
                <w:szCs w:val="21"/>
                <w:lang w:eastAsia="zh-CN"/>
              </w:rPr>
            </w:pPr>
            <w:r>
              <w:rPr>
                <w:rFonts w:hint="eastAsia" w:ascii="新宋体" w:hAnsi="新宋体" w:eastAsia="新宋体"/>
                <w:color w:val="auto"/>
                <w:szCs w:val="21"/>
              </w:rPr>
              <w:t>1.</w:t>
            </w:r>
            <w:r>
              <w:rPr>
                <w:rFonts w:hint="eastAsia" w:ascii="新宋体" w:hAnsi="新宋体" w:eastAsia="新宋体"/>
                <w:color w:val="auto"/>
                <w:szCs w:val="21"/>
                <w:lang w:eastAsia="zh-CN"/>
              </w:rPr>
              <w:t>提供</w:t>
            </w:r>
            <w:r>
              <w:rPr>
                <w:rFonts w:hint="eastAsia" w:ascii="新宋体" w:hAnsi="新宋体" w:eastAsia="新宋体"/>
                <w:color w:val="auto"/>
                <w:szCs w:val="21"/>
              </w:rPr>
              <w:t>投标人</w:t>
            </w:r>
            <w:r>
              <w:rPr>
                <w:rFonts w:hint="eastAsia" w:ascii="新宋体" w:hAnsi="新宋体" w:eastAsia="新宋体"/>
                <w:color w:val="auto"/>
                <w:szCs w:val="21"/>
                <w:lang w:eastAsia="zh-CN"/>
              </w:rPr>
              <w:t>为其缴纳的</w:t>
            </w:r>
            <w:r>
              <w:rPr>
                <w:rFonts w:hint="eastAsia" w:ascii="新宋体" w:hAnsi="新宋体" w:eastAsia="新宋体"/>
                <w:color w:val="auto"/>
                <w:szCs w:val="21"/>
              </w:rPr>
              <w:t>投标截止日前</w:t>
            </w:r>
            <w:r>
              <w:rPr>
                <w:rFonts w:hint="eastAsia" w:ascii="新宋体" w:hAnsi="新宋体" w:eastAsia="新宋体"/>
                <w:color w:val="auto"/>
                <w:szCs w:val="21"/>
                <w:lang w:val="en-US" w:eastAsia="zh-CN"/>
              </w:rPr>
              <w:t>2</w:t>
            </w:r>
            <w:r>
              <w:rPr>
                <w:rFonts w:hint="eastAsia" w:ascii="新宋体" w:hAnsi="新宋体" w:eastAsia="新宋体"/>
                <w:color w:val="auto"/>
                <w:szCs w:val="21"/>
              </w:rPr>
              <w:t>个月的社保购买证明</w:t>
            </w:r>
            <w:r>
              <w:rPr>
                <w:rFonts w:hint="eastAsia" w:ascii="宋体" w:hAnsi="宋体" w:cs="宋体"/>
                <w:color w:val="auto"/>
                <w:szCs w:val="21"/>
                <w:highlight w:val="none"/>
              </w:rPr>
              <w:t>（具体指投标截止日所在月的上一个月起倒算）社保缴交证明材料，</w:t>
            </w:r>
            <w:r>
              <w:rPr>
                <w:rFonts w:hint="eastAsia" w:ascii="宋体" w:hAnsi="宋体" w:cs="宋体"/>
                <w:bCs/>
                <w:color w:val="auto"/>
                <w:szCs w:val="21"/>
                <w:highlight w:val="none"/>
              </w:rPr>
              <w:t>如社保材料因社保部门原因暂时无法取得，则可以往前顺延一个月，但须提供社保部门出具的相关有效证明材料。</w:t>
            </w:r>
            <w:r>
              <w:rPr>
                <w:rFonts w:hint="eastAsia" w:ascii="宋体" w:hAnsi="宋体" w:cs="宋体"/>
                <w:color w:val="auto"/>
                <w:szCs w:val="21"/>
                <w:highlight w:val="none"/>
              </w:rPr>
              <w:t>否则本项直接计0分。若</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成立不足</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个月的，需提供成立情况说明函（格式自拟），无需提供相关人员社保，亦可得分</w:t>
            </w:r>
            <w:r>
              <w:rPr>
                <w:rFonts w:hint="eastAsia" w:ascii="新宋体" w:hAnsi="新宋体" w:eastAsia="新宋体"/>
                <w:color w:val="auto"/>
                <w:szCs w:val="21"/>
              </w:rPr>
              <w:t>、学历证书</w:t>
            </w:r>
            <w:r>
              <w:rPr>
                <w:rFonts w:hint="eastAsia" w:ascii="新宋体" w:hAnsi="新宋体" w:eastAsia="新宋体"/>
                <w:color w:val="auto"/>
                <w:szCs w:val="21"/>
                <w:lang w:eastAsia="zh-CN"/>
              </w:rPr>
              <w:t>、资格证书</w:t>
            </w:r>
            <w:r>
              <w:rPr>
                <w:rFonts w:hint="eastAsia" w:ascii="新宋体" w:hAnsi="新宋体" w:eastAsia="新宋体"/>
                <w:color w:val="auto"/>
                <w:szCs w:val="21"/>
              </w:rPr>
              <w:t>等相关证明资料作为得分依据</w:t>
            </w:r>
            <w:r>
              <w:rPr>
                <w:rFonts w:hint="eastAsia" w:ascii="新宋体" w:hAnsi="新宋体" w:eastAsia="新宋体"/>
                <w:color w:val="auto"/>
                <w:szCs w:val="21"/>
                <w:lang w:eastAsia="zh-CN"/>
              </w:rPr>
              <w:t>。</w:t>
            </w:r>
          </w:p>
          <w:p>
            <w:pPr>
              <w:rPr>
                <w:rFonts w:hint="eastAsia" w:ascii="新宋体" w:hAnsi="新宋体" w:eastAsia="新宋体"/>
                <w:color w:val="auto"/>
                <w:szCs w:val="21"/>
              </w:rPr>
            </w:pPr>
            <w:r>
              <w:rPr>
                <w:rFonts w:hint="eastAsia" w:ascii="新宋体" w:hAnsi="新宋体" w:eastAsia="新宋体"/>
                <w:color w:val="auto"/>
                <w:szCs w:val="21"/>
              </w:rPr>
              <w:t>2.以上资料均要求提供</w:t>
            </w:r>
            <w:r>
              <w:rPr>
                <w:rFonts w:hint="eastAsia" w:ascii="新宋体" w:hAnsi="新宋体" w:eastAsia="新宋体"/>
                <w:color w:val="auto"/>
                <w:szCs w:val="21"/>
                <w:lang w:eastAsia="zh-CN"/>
              </w:rPr>
              <w:t>复印件</w:t>
            </w:r>
            <w:r>
              <w:rPr>
                <w:rFonts w:hint="eastAsia" w:ascii="新宋体" w:hAnsi="新宋体" w:eastAsia="新宋体"/>
                <w:color w:val="auto"/>
                <w:szCs w:val="21"/>
              </w:rPr>
              <w:t>（或官方网站截图），原件备查。评分中出现无证明资料或专家无法凭所提供资料判断是否得分的情况，一律作不得分处理。</w:t>
            </w:r>
          </w:p>
          <w:p>
            <w:pPr>
              <w:rPr>
                <w:rFonts w:hint="eastAsia" w:ascii="宋体" w:hAnsi="宋体" w:eastAsia="宋体" w:cs="宋体"/>
                <w:color w:val="auto"/>
                <w:sz w:val="21"/>
                <w:szCs w:val="21"/>
                <w:highlight w:val="none"/>
                <w:lang w:val="en-US" w:eastAsia="zh-CN"/>
              </w:rPr>
            </w:pPr>
            <w:r>
              <w:rPr>
                <w:rFonts w:hint="eastAsia" w:ascii="新宋体" w:hAnsi="新宋体" w:eastAsia="新宋体"/>
                <w:color w:val="auto"/>
                <w:szCs w:val="21"/>
              </w:rPr>
              <w:t>3. 如涉及考察人员管理经验，要求提供项目合同关键信息作为得分依据，通过合同关键信息无法判断是否得分的，还须同时提供合同甲方出具的证明文件。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2"/>
              <w:rPr>
                <w:rFonts w:hint="eastAsia" w:ascii="宋体" w:hAnsi="宋体" w:eastAsia="宋体" w:cs="宋体"/>
                <w:color w:val="auto"/>
                <w:sz w:val="21"/>
                <w:szCs w:val="21"/>
                <w:highlight w:val="none"/>
              </w:rPr>
            </w:pP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896" w:type="pct"/>
            <w:gridSpan w:val="2"/>
            <w:shd w:val="clear" w:color="auto" w:fill="auto"/>
            <w:vAlign w:val="center"/>
          </w:tcPr>
          <w:p>
            <w:pPr>
              <w:jc w:val="center"/>
              <w:rPr>
                <w:rFonts w:hint="eastAsia" w:ascii="宋体" w:hAnsi="宋体" w:eastAsia="宋体" w:cs="宋体"/>
                <w:color w:val="auto"/>
                <w:sz w:val="21"/>
                <w:szCs w:val="21"/>
                <w:highlight w:val="none"/>
              </w:rPr>
            </w:pPr>
            <w:r>
              <w:rPr>
                <w:rFonts w:hint="eastAsia" w:ascii="新宋体" w:hAnsi="新宋体" w:eastAsia="新宋体"/>
                <w:color w:val="auto"/>
                <w:szCs w:val="21"/>
              </w:rPr>
              <w:t>投标人获奖情况</w:t>
            </w:r>
          </w:p>
        </w:tc>
        <w:tc>
          <w:tcPr>
            <w:tcW w:w="413" w:type="pct"/>
            <w:gridSpan w:val="2"/>
            <w:shd w:val="clear" w:color="auto" w:fill="auto"/>
            <w:vAlign w:val="center"/>
          </w:tcPr>
          <w:p>
            <w:pPr>
              <w:jc w:val="center"/>
              <w:rPr>
                <w:rFonts w:hint="eastAsia" w:ascii="宋体" w:hAnsi="宋体" w:cs="宋体"/>
                <w:color w:val="auto"/>
                <w:sz w:val="21"/>
                <w:szCs w:val="21"/>
                <w:highlight w:val="none"/>
                <w:lang w:val="en-US" w:eastAsia="zh-CN"/>
              </w:rPr>
            </w:pPr>
            <w:r>
              <w:rPr>
                <w:rFonts w:hint="eastAsia" w:ascii="新宋体" w:hAnsi="新宋体" w:eastAsia="新宋体"/>
                <w:color w:val="auto"/>
                <w:szCs w:val="21"/>
              </w:rPr>
              <w:t>10</w:t>
            </w:r>
          </w:p>
        </w:tc>
        <w:tc>
          <w:tcPr>
            <w:tcW w:w="2909" w:type="pct"/>
            <w:shd w:val="clear" w:color="auto" w:fill="auto"/>
            <w:vAlign w:val="top"/>
          </w:tcPr>
          <w:p>
            <w:pPr>
              <w:rPr>
                <w:rFonts w:hint="eastAsia" w:ascii="新宋体" w:hAnsi="新宋体" w:eastAsia="新宋体"/>
                <w:color w:val="auto"/>
                <w:szCs w:val="21"/>
              </w:rPr>
            </w:pPr>
            <w:r>
              <w:rPr>
                <w:rFonts w:hint="eastAsia" w:ascii="新宋体" w:hAnsi="新宋体" w:eastAsia="新宋体"/>
                <w:color w:val="auto"/>
                <w:szCs w:val="21"/>
              </w:rPr>
              <w:t>（一）评分内容：</w:t>
            </w:r>
          </w:p>
          <w:p>
            <w:pPr>
              <w:rPr>
                <w:rFonts w:hint="eastAsia" w:ascii="新宋体" w:hAnsi="新宋体" w:eastAsia="新宋体"/>
                <w:color w:val="auto"/>
                <w:szCs w:val="21"/>
              </w:rPr>
            </w:pPr>
            <w:r>
              <w:rPr>
                <w:rFonts w:hint="eastAsia" w:ascii="新宋体" w:hAnsi="新宋体" w:eastAsia="新宋体"/>
                <w:color w:val="auto"/>
                <w:szCs w:val="21"/>
              </w:rPr>
              <w:t>1.提供投标人获得省级或以上残疾人体育活动类表彰荣誉证书或表彰文件得10分，</w:t>
            </w:r>
          </w:p>
          <w:p>
            <w:pPr>
              <w:rPr>
                <w:rFonts w:hint="eastAsia" w:ascii="新宋体" w:hAnsi="新宋体" w:eastAsia="新宋体"/>
                <w:color w:val="auto"/>
                <w:szCs w:val="21"/>
              </w:rPr>
            </w:pPr>
            <w:r>
              <w:rPr>
                <w:rFonts w:hint="eastAsia" w:ascii="新宋体" w:hAnsi="新宋体" w:eastAsia="新宋体"/>
                <w:color w:val="auto"/>
                <w:szCs w:val="21"/>
              </w:rPr>
              <w:t>2.提供投标人获得省级或以上体育活动类表彰荣誉证书或表彰文件得5分，此项最高得5分。</w:t>
            </w:r>
          </w:p>
          <w:p>
            <w:pPr>
              <w:rPr>
                <w:rFonts w:hint="eastAsia" w:ascii="新宋体" w:hAnsi="新宋体" w:eastAsia="新宋体"/>
                <w:color w:val="auto"/>
                <w:szCs w:val="21"/>
              </w:rPr>
            </w:pPr>
            <w:r>
              <w:rPr>
                <w:rFonts w:hint="eastAsia" w:ascii="新宋体" w:hAnsi="新宋体" w:eastAsia="新宋体"/>
                <w:color w:val="auto"/>
                <w:szCs w:val="21"/>
              </w:rPr>
              <w:t>（二）评分依据：</w:t>
            </w:r>
          </w:p>
          <w:p>
            <w:pPr>
              <w:rPr>
                <w:rFonts w:hint="eastAsia" w:ascii="新宋体" w:hAnsi="新宋体" w:eastAsia="新宋体"/>
                <w:color w:val="auto"/>
                <w:szCs w:val="21"/>
              </w:rPr>
            </w:pPr>
            <w:r>
              <w:rPr>
                <w:rFonts w:hint="eastAsia" w:ascii="新宋体" w:hAnsi="新宋体" w:eastAsia="新宋体"/>
                <w:color w:val="auto"/>
                <w:szCs w:val="21"/>
              </w:rPr>
              <w:t>1.要求提供奖项照片或获奖（荣誉）证书等证明材料作为得分依据。</w:t>
            </w:r>
          </w:p>
          <w:p>
            <w:pPr>
              <w:rPr>
                <w:rFonts w:hint="eastAsia" w:ascii="宋体" w:hAnsi="宋体" w:eastAsia="宋体" w:cs="宋体"/>
                <w:color w:val="auto"/>
                <w:sz w:val="21"/>
                <w:szCs w:val="21"/>
                <w:highlight w:val="none"/>
              </w:rPr>
            </w:pPr>
            <w:r>
              <w:rPr>
                <w:rFonts w:hint="eastAsia" w:ascii="新宋体" w:hAnsi="新宋体" w:eastAsia="新宋体"/>
                <w:color w:val="auto"/>
                <w:szCs w:val="21"/>
              </w:rPr>
              <w:t>2.以上资料均要求提供</w:t>
            </w:r>
            <w:r>
              <w:rPr>
                <w:rFonts w:hint="eastAsia" w:ascii="新宋体" w:hAnsi="新宋体" w:eastAsia="新宋体"/>
                <w:color w:val="auto"/>
                <w:szCs w:val="21"/>
                <w:lang w:eastAsia="zh-CN"/>
              </w:rPr>
              <w:t>复印</w:t>
            </w:r>
            <w:r>
              <w:rPr>
                <w:rFonts w:hint="eastAsia" w:ascii="新宋体" w:hAnsi="新宋体" w:eastAsia="新宋体"/>
                <w:color w:val="auto"/>
                <w:szCs w:val="21"/>
              </w:rPr>
              <w:t>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Cs w:val="21"/>
              </w:rPr>
            </w:pPr>
            <w:r>
              <w:rPr>
                <w:rFonts w:hint="eastAsia" w:ascii="新宋体" w:hAnsi="新宋体" w:eastAsia="新宋体"/>
                <w:b/>
                <w:color w:val="auto"/>
                <w:szCs w:val="21"/>
              </w:rPr>
              <w:t>4</w:t>
            </w:r>
          </w:p>
        </w:tc>
        <w:tc>
          <w:tcPr>
            <w:tcW w:w="1713"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Cs w:val="21"/>
              </w:rPr>
            </w:pPr>
            <w:r>
              <w:rPr>
                <w:rFonts w:hint="eastAsia" w:ascii="新宋体" w:hAnsi="新宋体" w:eastAsia="新宋体"/>
                <w:b/>
                <w:color w:val="auto"/>
                <w:szCs w:val="21"/>
              </w:rPr>
              <w:t>诚信情况</w:t>
            </w:r>
          </w:p>
        </w:tc>
        <w:tc>
          <w:tcPr>
            <w:tcW w:w="2909" w:type="pc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color w:val="auto"/>
                <w:szCs w:val="21"/>
              </w:rPr>
            </w:pPr>
            <w:r>
              <w:rPr>
                <w:rFonts w:hint="eastAsia" w:ascii="新宋体" w:hAnsi="新宋体" w:eastAsia="新宋体"/>
                <w:b/>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77" w:type="pct"/>
            <w:vMerge w:val="restart"/>
            <w:tcBorders>
              <w:top w:val="single" w:color="auto" w:sz="4" w:space="0"/>
              <w:left w:val="single" w:color="auto" w:sz="4" w:space="0"/>
              <w:right w:val="single" w:color="auto" w:sz="4" w:space="0"/>
            </w:tcBorders>
            <w:vAlign w:val="center"/>
          </w:tcPr>
          <w:p>
            <w:pPr>
              <w:rPr>
                <w:rFonts w:ascii="新宋体" w:hAnsi="新宋体" w:eastAsia="新宋体"/>
                <w:color w:val="auto"/>
                <w:szCs w:val="21"/>
              </w:rPr>
            </w:pPr>
          </w:p>
        </w:tc>
        <w:tc>
          <w:tcPr>
            <w:tcW w:w="408" w:type="pct"/>
            <w:gridSpan w:val="2"/>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color w:val="auto"/>
                <w:szCs w:val="21"/>
              </w:rPr>
            </w:pPr>
            <w:r>
              <w:rPr>
                <w:rFonts w:ascii="新宋体" w:hAnsi="新宋体" w:eastAsia="新宋体"/>
                <w:color w:val="auto"/>
                <w:szCs w:val="21"/>
              </w:rPr>
              <w:t>序号</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color w:val="auto"/>
                <w:szCs w:val="21"/>
              </w:rPr>
            </w:pPr>
            <w:r>
              <w:rPr>
                <w:rFonts w:ascii="新宋体" w:hAnsi="新宋体" w:eastAsia="新宋体"/>
                <w:color w:val="auto"/>
                <w:szCs w:val="21"/>
              </w:rPr>
              <w:t>评分因素</w:t>
            </w:r>
          </w:p>
        </w:tc>
        <w:tc>
          <w:tcPr>
            <w:tcW w:w="407" w:type="pc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color w:val="auto"/>
                <w:szCs w:val="21"/>
              </w:rPr>
            </w:pPr>
            <w:r>
              <w:rPr>
                <w:rFonts w:ascii="新宋体" w:hAnsi="新宋体" w:eastAsia="新宋体"/>
                <w:color w:val="auto"/>
                <w:szCs w:val="21"/>
              </w:rPr>
              <w:t>权重</w:t>
            </w:r>
          </w:p>
        </w:tc>
        <w:tc>
          <w:tcPr>
            <w:tcW w:w="2909" w:type="pct"/>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color w:val="auto"/>
                <w:szCs w:val="21"/>
              </w:rPr>
            </w:pPr>
            <w:r>
              <w:rPr>
                <w:rFonts w:ascii="新宋体" w:hAnsi="新宋体" w:eastAsia="新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77" w:type="pct"/>
            <w:vMerge w:val="continue"/>
            <w:tcBorders>
              <w:left w:val="single" w:color="auto" w:sz="4" w:space="0"/>
              <w:right w:val="single" w:color="auto" w:sz="4" w:space="0"/>
            </w:tcBorders>
            <w:vAlign w:val="center"/>
          </w:tcPr>
          <w:p>
            <w:pPr>
              <w:rPr>
                <w:rFonts w:ascii="新宋体" w:hAnsi="新宋体" w:eastAsia="新宋体"/>
                <w:color w:val="auto"/>
                <w:szCs w:val="21"/>
              </w:rPr>
            </w:pPr>
          </w:p>
        </w:tc>
        <w:tc>
          <w:tcPr>
            <w:tcW w:w="408" w:type="pct"/>
            <w:gridSpan w:val="2"/>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color w:val="auto"/>
                <w:szCs w:val="21"/>
              </w:rPr>
            </w:pPr>
            <w:r>
              <w:rPr>
                <w:rFonts w:ascii="新宋体" w:hAnsi="新宋体" w:eastAsia="新宋体"/>
                <w:color w:val="auto"/>
                <w:szCs w:val="21"/>
              </w:rPr>
              <w:t>1</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Cs w:val="21"/>
              </w:rPr>
            </w:pPr>
            <w:r>
              <w:rPr>
                <w:rFonts w:ascii="新宋体" w:hAnsi="新宋体" w:eastAsia="新宋体"/>
                <w:color w:val="auto"/>
                <w:szCs w:val="21"/>
              </w:rPr>
              <w:t>诚信</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color w:val="auto"/>
                <w:szCs w:val="21"/>
              </w:rPr>
            </w:pPr>
            <w:r>
              <w:rPr>
                <w:rFonts w:hint="eastAsia" w:ascii="新宋体" w:hAnsi="新宋体" w:eastAsia="新宋体"/>
                <w:color w:val="auto"/>
                <w:szCs w:val="21"/>
              </w:rPr>
              <w:t>5</w:t>
            </w:r>
          </w:p>
        </w:tc>
        <w:tc>
          <w:tcPr>
            <w:tcW w:w="29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投标人存在《诚信承诺函》所列情形但超出法定追诉时效，或情节轻微未给予禁止参与政府采购的行政处罚的，本项得0分，不存在上述情形的，本项得满分。</w:t>
            </w:r>
          </w:p>
          <w:p>
            <w:pPr>
              <w:rPr>
                <w:rFonts w:ascii="新宋体" w:hAnsi="新宋体" w:eastAsia="新宋体"/>
                <w:color w:val="auto"/>
                <w:szCs w:val="21"/>
              </w:rPr>
            </w:pPr>
            <w:r>
              <w:rPr>
                <w:rFonts w:hint="eastAsia" w:ascii="宋体" w:hAnsi="宋体" w:cs="宋体"/>
                <w:color w:val="auto"/>
                <w:sz w:val="21"/>
                <w:szCs w:val="21"/>
                <w:highlight w:val="none"/>
                <w:lang w:eastAsia="zh-CN"/>
              </w:rPr>
              <w:t>证明文件</w:t>
            </w:r>
            <w:r>
              <w:rPr>
                <w:rFonts w:hint="eastAsia" w:ascii="宋体" w:hAnsi="宋体" w:eastAsia="宋体" w:cs="宋体"/>
                <w:color w:val="auto"/>
                <w:sz w:val="21"/>
                <w:szCs w:val="21"/>
                <w:highlight w:val="none"/>
              </w:rPr>
              <w:t>：提供《诚信承诺函》盖投标人公章（详见“诚信承诺函格式”），投标人应对提供的《诚信承诺函》负责（格式必须按照招标文件格式要求，不得作出任何调整或修订，否则视为无效证明文件）。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77" w:type="pct"/>
            <w:vMerge w:val="continue"/>
            <w:tcBorders>
              <w:left w:val="single" w:color="auto" w:sz="4" w:space="0"/>
              <w:right w:val="single" w:color="auto" w:sz="4" w:space="0"/>
            </w:tcBorders>
            <w:vAlign w:val="center"/>
          </w:tcPr>
          <w:p>
            <w:pPr>
              <w:rPr>
                <w:rFonts w:ascii="新宋体" w:hAnsi="新宋体" w:eastAsia="新宋体"/>
                <w:color w:val="auto"/>
                <w:szCs w:val="21"/>
              </w:rPr>
            </w:pPr>
          </w:p>
        </w:tc>
        <w:tc>
          <w:tcPr>
            <w:tcW w:w="408" w:type="pct"/>
            <w:gridSpan w:val="2"/>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宋体"/>
                <w:color w:val="auto"/>
                <w:szCs w:val="21"/>
              </w:rPr>
            </w:pPr>
            <w:r>
              <w:rPr>
                <w:rFonts w:ascii="新宋体" w:hAnsi="新宋体" w:eastAsia="新宋体"/>
                <w:color w:val="auto"/>
                <w:szCs w:val="21"/>
              </w:rPr>
              <w:t>2</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olor w:val="auto"/>
                <w:szCs w:val="21"/>
              </w:rPr>
            </w:pPr>
            <w:r>
              <w:rPr>
                <w:rFonts w:ascii="新宋体" w:hAnsi="新宋体" w:eastAsia="新宋体"/>
                <w:color w:val="auto"/>
                <w:szCs w:val="21"/>
              </w:rPr>
              <w:t>履约</w:t>
            </w:r>
          </w:p>
        </w:tc>
        <w:tc>
          <w:tcPr>
            <w:tcW w:w="407" w:type="pc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color w:val="auto"/>
                <w:szCs w:val="21"/>
              </w:rPr>
            </w:pPr>
            <w:r>
              <w:rPr>
                <w:rFonts w:hint="eastAsia" w:ascii="新宋体" w:hAnsi="新宋体" w:eastAsia="新宋体"/>
                <w:color w:val="auto"/>
                <w:szCs w:val="21"/>
              </w:rPr>
              <w:t>5</w:t>
            </w:r>
          </w:p>
        </w:tc>
        <w:tc>
          <w:tcPr>
            <w:tcW w:w="2909" w:type="pct"/>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olor w:val="auto"/>
                <w:szCs w:val="21"/>
              </w:rPr>
            </w:pPr>
            <w:r>
              <w:rPr>
                <w:rFonts w:hint="eastAsia" w:ascii="新宋体" w:hAnsi="新宋体" w:eastAsia="新宋体"/>
                <w:color w:val="auto"/>
                <w:szCs w:val="21"/>
              </w:rPr>
              <w:t>（一）评分内容：</w:t>
            </w:r>
          </w:p>
          <w:p>
            <w:pPr>
              <w:rPr>
                <w:rFonts w:hint="eastAsia" w:ascii="新宋体" w:hAnsi="新宋体" w:eastAsia="新宋体"/>
                <w:color w:val="auto"/>
                <w:szCs w:val="21"/>
                <w:lang w:val="en-US" w:eastAsia="zh-CN"/>
              </w:rPr>
            </w:pPr>
            <w:r>
              <w:rPr>
                <w:rFonts w:hint="eastAsia" w:ascii="新宋体" w:hAnsi="新宋体" w:eastAsia="新宋体"/>
                <w:color w:val="auto"/>
                <w:szCs w:val="21"/>
                <w:lang w:eastAsia="zh-CN"/>
              </w:rPr>
              <w:t>考察投标人近三年（自</w:t>
            </w:r>
            <w:r>
              <w:rPr>
                <w:rFonts w:hint="eastAsia" w:ascii="新宋体" w:hAnsi="新宋体" w:eastAsia="新宋体"/>
                <w:color w:val="auto"/>
                <w:szCs w:val="21"/>
                <w:lang w:val="en-US" w:eastAsia="zh-CN"/>
              </w:rPr>
              <w:t>2020年7月1日至投标截止日，以合同签订时间为准</w:t>
            </w:r>
            <w:r>
              <w:rPr>
                <w:rFonts w:hint="eastAsia" w:ascii="新宋体" w:hAnsi="新宋体" w:eastAsia="新宋体"/>
                <w:color w:val="auto"/>
                <w:szCs w:val="21"/>
                <w:lang w:eastAsia="zh-CN"/>
              </w:rPr>
              <w:t>）具有已完成的同类项目业绩情况，每提供一项合同甲方出具的评价为优秀或合格的履约评价文件得</w:t>
            </w:r>
            <w:r>
              <w:rPr>
                <w:rFonts w:hint="eastAsia" w:ascii="新宋体" w:hAnsi="新宋体" w:eastAsia="新宋体"/>
                <w:color w:val="auto"/>
                <w:szCs w:val="21"/>
                <w:lang w:val="en-US" w:eastAsia="zh-CN"/>
              </w:rPr>
              <w:t>2.5分，最高得5分。</w:t>
            </w:r>
          </w:p>
          <w:p>
            <w:pPr>
              <w:rPr>
                <w:rFonts w:hint="eastAsia" w:ascii="新宋体" w:hAnsi="新宋体" w:eastAsia="新宋体"/>
                <w:color w:val="auto"/>
                <w:szCs w:val="21"/>
              </w:rPr>
            </w:pPr>
            <w:r>
              <w:rPr>
                <w:rFonts w:hint="eastAsia" w:ascii="新宋体" w:hAnsi="新宋体" w:eastAsia="新宋体"/>
                <w:color w:val="auto"/>
                <w:szCs w:val="21"/>
              </w:rPr>
              <w:t>（二）评分依据：</w:t>
            </w:r>
          </w:p>
          <w:p>
            <w:pPr>
              <w:rPr>
                <w:rFonts w:hint="eastAsia" w:ascii="新宋体" w:hAnsi="新宋体" w:eastAsia="新宋体"/>
                <w:color w:val="auto"/>
                <w:szCs w:val="21"/>
              </w:rPr>
            </w:pPr>
            <w:r>
              <w:rPr>
                <w:rFonts w:hint="eastAsia" w:ascii="新宋体" w:hAnsi="新宋体" w:eastAsia="新宋体"/>
                <w:color w:val="auto"/>
                <w:szCs w:val="21"/>
              </w:rPr>
              <w:t>1.要求提供</w:t>
            </w:r>
            <w:r>
              <w:rPr>
                <w:rFonts w:hint="eastAsia" w:ascii="新宋体" w:hAnsi="新宋体" w:eastAsia="新宋体"/>
                <w:color w:val="auto"/>
                <w:szCs w:val="21"/>
                <w:lang w:eastAsia="zh-CN"/>
              </w:rPr>
              <w:t>业绩合同及履约评价文件</w:t>
            </w:r>
            <w:r>
              <w:rPr>
                <w:rFonts w:hint="eastAsia" w:ascii="新宋体" w:hAnsi="新宋体" w:eastAsia="新宋体"/>
                <w:color w:val="auto"/>
                <w:szCs w:val="21"/>
              </w:rPr>
              <w:t>等证明材料作为得分依据。</w:t>
            </w:r>
          </w:p>
          <w:p>
            <w:pPr>
              <w:rPr>
                <w:rFonts w:ascii="新宋体" w:hAnsi="新宋体" w:eastAsia="新宋体"/>
                <w:color w:val="auto"/>
                <w:szCs w:val="21"/>
              </w:rPr>
            </w:pPr>
            <w:r>
              <w:rPr>
                <w:rFonts w:hint="eastAsia" w:ascii="新宋体" w:hAnsi="新宋体" w:eastAsia="新宋体"/>
                <w:color w:val="auto"/>
                <w:szCs w:val="21"/>
              </w:rPr>
              <w:t>2.以上资料均要求提供</w:t>
            </w:r>
            <w:r>
              <w:rPr>
                <w:rFonts w:hint="eastAsia" w:ascii="新宋体" w:hAnsi="新宋体" w:eastAsia="新宋体"/>
                <w:color w:val="auto"/>
                <w:szCs w:val="21"/>
                <w:lang w:eastAsia="zh-CN"/>
              </w:rPr>
              <w:t>复印</w:t>
            </w:r>
            <w:r>
              <w:rPr>
                <w:rFonts w:hint="eastAsia" w:ascii="新宋体" w:hAnsi="新宋体" w:eastAsia="新宋体"/>
                <w:color w:val="auto"/>
                <w:szCs w:val="21"/>
              </w:rPr>
              <w:t>件（或官方网站截图），原件备查。评分中出现无证明资料或专家无法凭所提供资料判断是否得分的情况，一律作不得分处理。</w:t>
            </w:r>
          </w:p>
        </w:tc>
      </w:tr>
    </w:tbl>
    <w:p>
      <w:pP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说明：</w:t>
      </w:r>
      <w:r>
        <w:rPr>
          <w:rFonts w:hint="eastAsia" w:ascii="宋体" w:hAnsi="宋体"/>
          <w:color w:val="auto"/>
          <w:szCs w:val="21"/>
          <w:highlight w:val="none"/>
        </w:rPr>
        <w:t>1、本评分表中每一栏的得分最高不得超过该项评审指标的分值。2、表中要求提供相关计分证明文件的内容，投标文件中须明确加以说明，未按要求提供相关文件或说明不清楚的按不符合要求处理。</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三、评标及定标程序</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（一）授权评标委员会确定中标单位的方式</w:t>
      </w:r>
    </w:p>
    <w:p>
      <w:pPr>
        <w:pStyle w:val="6"/>
        <w:numPr>
          <w:ilvl w:val="0"/>
          <w:numId w:val="1"/>
        </w:numPr>
        <w:spacing w:line="440" w:lineRule="exact"/>
        <w:ind w:firstLineChars="0"/>
        <w:rPr>
          <w:rFonts w:ascii="宋体" w:hAnsi="宋体"/>
          <w:b/>
          <w:color w:val="auto"/>
          <w:szCs w:val="21"/>
          <w:highlight w:val="none"/>
        </w:rPr>
      </w:pPr>
      <w:r>
        <w:rPr>
          <w:rFonts w:ascii="宋体" w:hAnsi="宋体"/>
          <w:b/>
          <w:color w:val="auto"/>
          <w:szCs w:val="21"/>
          <w:highlight w:val="none"/>
        </w:rPr>
        <w:t>综合评分法</w:t>
      </w:r>
    </w:p>
    <w:p>
      <w:pPr>
        <w:spacing w:line="440" w:lineRule="exact"/>
        <w:ind w:firstLine="422" w:firstLineChars="200"/>
        <w:rPr>
          <w:rFonts w:ascii="Calibri" w:hAnsi="Calibri"/>
          <w:b/>
          <w:color w:val="auto"/>
          <w:szCs w:val="21"/>
          <w:highlight w:val="none"/>
        </w:rPr>
      </w:pPr>
      <w:r>
        <w:rPr>
          <w:rFonts w:hint="eastAsia" w:ascii="宋体" w:hAnsi="宋体"/>
          <w:b/>
          <w:color w:val="auto"/>
          <w:szCs w:val="21"/>
          <w:highlight w:val="none"/>
        </w:rPr>
        <w:t>1、</w:t>
      </w:r>
      <w:r>
        <w:rPr>
          <w:rFonts w:ascii="Calibri" w:hAnsi="宋体"/>
          <w:b/>
          <w:color w:val="auto"/>
          <w:szCs w:val="21"/>
          <w:highlight w:val="none"/>
        </w:rPr>
        <w:t>符合性检查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评标委员会根据</w:t>
      </w:r>
      <w:r>
        <w:rPr>
          <w:rFonts w:hint="eastAsia" w:ascii="宋体" w:hAnsi="宋体"/>
          <w:bCs/>
          <w:color w:val="auto"/>
          <w:szCs w:val="21"/>
          <w:highlight w:val="none"/>
        </w:rPr>
        <w:t>《</w:t>
      </w:r>
      <w:r>
        <w:rPr>
          <w:rFonts w:ascii="宋体" w:hAnsi="宋体"/>
          <w:bCs/>
          <w:color w:val="auto"/>
          <w:szCs w:val="21"/>
          <w:highlight w:val="none"/>
        </w:rPr>
        <w:t>符合性检查表》的内容和标准，对所有</w:t>
      </w:r>
      <w:r>
        <w:rPr>
          <w:rFonts w:hint="eastAsia" w:ascii="宋体" w:hAnsi="宋体"/>
          <w:bCs/>
          <w:color w:val="auto"/>
          <w:szCs w:val="21"/>
          <w:highlight w:val="none"/>
        </w:rPr>
        <w:t>通过资格性核查的</w:t>
      </w:r>
      <w:r>
        <w:rPr>
          <w:rFonts w:ascii="宋体" w:hAnsi="宋体"/>
          <w:bCs/>
          <w:color w:val="auto"/>
          <w:szCs w:val="21"/>
          <w:highlight w:val="none"/>
        </w:rPr>
        <w:t>投标</w:t>
      </w:r>
      <w:r>
        <w:rPr>
          <w:rFonts w:hint="eastAsia" w:ascii="宋体" w:hAnsi="宋体"/>
          <w:bCs/>
          <w:color w:val="auto"/>
          <w:szCs w:val="21"/>
          <w:highlight w:val="none"/>
        </w:rPr>
        <w:t>文件</w:t>
      </w:r>
      <w:r>
        <w:rPr>
          <w:rFonts w:ascii="宋体" w:hAnsi="宋体"/>
          <w:bCs/>
          <w:color w:val="auto"/>
          <w:szCs w:val="21"/>
          <w:highlight w:val="none"/>
        </w:rPr>
        <w:t>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符合性检查的对象是投标人提交的投标文件，评标委员会只就投标文件中所载明的情况进行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Calibri" w:hAnsi="Calibri"/>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符</w:t>
      </w:r>
      <w:r>
        <w:rPr>
          <w:rFonts w:ascii="Calibri" w:hAnsi="宋体"/>
          <w:color w:val="auto"/>
          <w:szCs w:val="21"/>
          <w:highlight w:val="none"/>
        </w:rPr>
        <w:t>合性检查的结果是</w:t>
      </w:r>
      <w:r>
        <w:rPr>
          <w:rFonts w:ascii="Calibri" w:hAnsi="Calibri"/>
          <w:color w:val="auto"/>
          <w:szCs w:val="21"/>
          <w:highlight w:val="none"/>
        </w:rPr>
        <w:t>“</w:t>
      </w:r>
      <w:r>
        <w:rPr>
          <w:rFonts w:ascii="Calibri" w:hAnsi="宋体"/>
          <w:color w:val="auto"/>
          <w:szCs w:val="21"/>
          <w:highlight w:val="none"/>
        </w:rPr>
        <w:t>通过</w:t>
      </w:r>
      <w:r>
        <w:rPr>
          <w:rFonts w:ascii="Calibri" w:hAnsi="Calibri"/>
          <w:color w:val="auto"/>
          <w:szCs w:val="21"/>
          <w:highlight w:val="none"/>
        </w:rPr>
        <w:t>”</w:t>
      </w:r>
      <w:r>
        <w:rPr>
          <w:rFonts w:ascii="Calibri" w:hAnsi="宋体"/>
          <w:color w:val="auto"/>
          <w:szCs w:val="21"/>
          <w:highlight w:val="none"/>
        </w:rPr>
        <w:t>或</w:t>
      </w:r>
      <w:r>
        <w:rPr>
          <w:rFonts w:ascii="Calibri" w:hAnsi="Calibri"/>
          <w:color w:val="auto"/>
          <w:szCs w:val="21"/>
          <w:highlight w:val="none"/>
        </w:rPr>
        <w:t>“</w:t>
      </w:r>
      <w:r>
        <w:rPr>
          <w:rFonts w:ascii="Calibri" w:hAnsi="宋体"/>
          <w:color w:val="auto"/>
          <w:szCs w:val="21"/>
          <w:highlight w:val="none"/>
        </w:rPr>
        <w:t>不通过</w:t>
      </w:r>
      <w:r>
        <w:rPr>
          <w:rFonts w:ascii="Calibri" w:hAnsi="Calibri"/>
          <w:color w:val="auto"/>
          <w:szCs w:val="21"/>
          <w:highlight w:val="none"/>
        </w:rPr>
        <w:t>”</w:t>
      </w:r>
      <w:r>
        <w:rPr>
          <w:rFonts w:ascii="Calibri" w:hAnsi="宋体"/>
          <w:color w:val="auto"/>
          <w:szCs w:val="21"/>
          <w:highlight w:val="none"/>
        </w:rPr>
        <w:t>，只有逐条通过</w:t>
      </w:r>
      <w:r>
        <w:rPr>
          <w:rFonts w:ascii="宋体" w:hAnsi="宋体"/>
          <w:bCs/>
          <w:color w:val="auto"/>
          <w:szCs w:val="21"/>
          <w:highlight w:val="none"/>
        </w:rPr>
        <w:t>《符合性检查表》</w:t>
      </w:r>
      <w:r>
        <w:rPr>
          <w:rFonts w:ascii="Calibri" w:hAnsi="宋体"/>
          <w:color w:val="auto"/>
          <w:szCs w:val="21"/>
          <w:highlight w:val="none"/>
        </w:rPr>
        <w:t>各项检查的投标方能进入下一阶段的评标，否则将导致其投标被废标。</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商务</w:t>
      </w:r>
      <w:r>
        <w:rPr>
          <w:rFonts w:hint="eastAsia" w:ascii="宋体" w:hAnsi="宋体"/>
          <w:b/>
          <w:color w:val="auto"/>
          <w:szCs w:val="21"/>
          <w:highlight w:val="none"/>
        </w:rPr>
        <w:t>、</w:t>
      </w:r>
      <w:r>
        <w:rPr>
          <w:rFonts w:ascii="宋体" w:hAnsi="宋体"/>
          <w:b/>
          <w:color w:val="auto"/>
          <w:szCs w:val="21"/>
          <w:highlight w:val="none"/>
        </w:rPr>
        <w:t>技术及价格评议</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评标委员会根据《</w:t>
      </w:r>
      <w:r>
        <w:rPr>
          <w:rFonts w:hint="eastAsia" w:ascii="宋体" w:hAnsi="宋体"/>
          <w:color w:val="auto"/>
          <w:szCs w:val="21"/>
          <w:highlight w:val="none"/>
        </w:rPr>
        <w:t>评分表</w:t>
      </w:r>
      <w:r>
        <w:rPr>
          <w:rFonts w:ascii="宋体" w:hAnsi="宋体"/>
          <w:color w:val="auto"/>
          <w:szCs w:val="21"/>
          <w:highlight w:val="none"/>
        </w:rPr>
        <w:t>》的内容和标准，对通过</w:t>
      </w:r>
      <w:r>
        <w:rPr>
          <w:rFonts w:hint="eastAsia" w:ascii="宋体" w:hAnsi="宋体"/>
          <w:bCs/>
          <w:color w:val="auto"/>
          <w:szCs w:val="21"/>
          <w:highlight w:val="none"/>
        </w:rPr>
        <w:t>资格性和</w:t>
      </w:r>
      <w:r>
        <w:rPr>
          <w:rFonts w:ascii="宋体" w:hAnsi="宋体"/>
          <w:bCs/>
          <w:color w:val="auto"/>
          <w:szCs w:val="21"/>
          <w:highlight w:val="none"/>
        </w:rPr>
        <w:t>符合性</w:t>
      </w:r>
      <w:r>
        <w:rPr>
          <w:rFonts w:ascii="宋体" w:hAnsi="宋体"/>
          <w:color w:val="auto"/>
          <w:szCs w:val="21"/>
          <w:highlight w:val="none"/>
        </w:rPr>
        <w:t>检查的投标进行商务</w:t>
      </w:r>
      <w:r>
        <w:rPr>
          <w:rFonts w:hint="eastAsia" w:ascii="宋体" w:hAnsi="宋体"/>
          <w:color w:val="auto"/>
          <w:szCs w:val="21"/>
          <w:highlight w:val="none"/>
        </w:rPr>
        <w:t>、</w:t>
      </w:r>
      <w:r>
        <w:rPr>
          <w:rFonts w:ascii="宋体" w:hAnsi="宋体"/>
          <w:color w:val="auto"/>
          <w:szCs w:val="21"/>
          <w:highlight w:val="none"/>
        </w:rPr>
        <w:t>技术</w:t>
      </w:r>
      <w:r>
        <w:rPr>
          <w:rFonts w:hint="eastAsia" w:ascii="宋体" w:hAnsi="宋体"/>
          <w:color w:val="auto"/>
          <w:szCs w:val="21"/>
          <w:highlight w:val="none"/>
        </w:rPr>
        <w:t>及价格</w:t>
      </w:r>
      <w:r>
        <w:rPr>
          <w:rFonts w:ascii="宋体" w:hAnsi="宋体"/>
          <w:color w:val="auto"/>
          <w:szCs w:val="21"/>
          <w:highlight w:val="none"/>
        </w:rPr>
        <w:t>评议。</w:t>
      </w:r>
    </w:p>
    <w:p>
      <w:pPr>
        <w:spacing w:line="440" w:lineRule="exact"/>
        <w:ind w:firstLine="420" w:firstLineChars="200"/>
        <w:rPr>
          <w:rFonts w:ascii="Calibri" w:hAnsi="Calibri"/>
          <w:color w:val="auto"/>
          <w:szCs w:val="21"/>
          <w:highlight w:val="none"/>
        </w:rPr>
      </w:pPr>
      <w:r>
        <w:rPr>
          <w:rFonts w:hint="eastAsia" w:ascii="宋体" w:hAnsi="宋体"/>
          <w:color w:val="auto"/>
          <w:szCs w:val="21"/>
          <w:highlight w:val="none"/>
        </w:rPr>
        <w:t>（2）</w:t>
      </w:r>
      <w:r>
        <w:rPr>
          <w:rFonts w:ascii="宋体" w:hAnsi="宋体"/>
          <w:color w:val="auto"/>
          <w:szCs w:val="21"/>
          <w:highlight w:val="none"/>
        </w:rPr>
        <w:t>评</w:t>
      </w:r>
      <w:r>
        <w:rPr>
          <w:rFonts w:ascii="Calibri" w:hAnsi="宋体"/>
          <w:color w:val="auto"/>
          <w:szCs w:val="21"/>
          <w:highlight w:val="none"/>
        </w:rPr>
        <w:t>标委员会将对照招标文件中的商务、技术需求条款和投标文件中的商务、技术条款响应进行评议</w:t>
      </w:r>
      <w:r>
        <w:rPr>
          <w:rFonts w:hint="eastAsia" w:ascii="Calibri" w:hAnsi="宋体"/>
          <w:color w:val="auto"/>
          <w:szCs w:val="21"/>
          <w:highlight w:val="none"/>
        </w:rPr>
        <w:t>；</w:t>
      </w:r>
      <w:r>
        <w:rPr>
          <w:rFonts w:ascii="Calibri" w:hAnsi="宋体"/>
          <w:color w:val="auto"/>
          <w:szCs w:val="21"/>
          <w:highlight w:val="none"/>
        </w:rPr>
        <w:t>评标委员会成员将按照《</w:t>
      </w:r>
      <w:r>
        <w:rPr>
          <w:rFonts w:hint="eastAsia" w:ascii="Calibri" w:hAnsi="宋体"/>
          <w:color w:val="auto"/>
          <w:szCs w:val="21"/>
          <w:highlight w:val="none"/>
        </w:rPr>
        <w:t>评分表</w:t>
      </w:r>
      <w:r>
        <w:rPr>
          <w:rFonts w:ascii="Calibri" w:hAnsi="宋体"/>
          <w:color w:val="auto"/>
          <w:szCs w:val="21"/>
          <w:highlight w:val="none"/>
        </w:rPr>
        <w:t>》确定的</w:t>
      </w:r>
      <w:r>
        <w:rPr>
          <w:rFonts w:hint="eastAsia" w:ascii="Calibri" w:hAnsi="宋体"/>
          <w:color w:val="auto"/>
          <w:szCs w:val="21"/>
          <w:highlight w:val="none"/>
        </w:rPr>
        <w:t>分值</w:t>
      </w:r>
      <w:r>
        <w:rPr>
          <w:rFonts w:ascii="Calibri" w:hAnsi="宋体"/>
          <w:color w:val="auto"/>
          <w:szCs w:val="21"/>
          <w:highlight w:val="none"/>
        </w:rPr>
        <w:t>独立对每个投标的商务</w:t>
      </w:r>
      <w:r>
        <w:rPr>
          <w:rFonts w:hint="eastAsia" w:ascii="Calibri" w:hAnsi="宋体"/>
          <w:color w:val="auto"/>
          <w:szCs w:val="21"/>
          <w:highlight w:val="none"/>
        </w:rPr>
        <w:t>、</w:t>
      </w:r>
      <w:r>
        <w:rPr>
          <w:rFonts w:ascii="Calibri" w:hAnsi="宋体"/>
          <w:color w:val="auto"/>
          <w:szCs w:val="21"/>
          <w:highlight w:val="none"/>
        </w:rPr>
        <w:t>技术</w:t>
      </w:r>
      <w:r>
        <w:rPr>
          <w:rFonts w:hint="eastAsia" w:ascii="Calibri" w:hAnsi="宋体"/>
          <w:color w:val="auto"/>
          <w:szCs w:val="21"/>
          <w:highlight w:val="none"/>
        </w:rPr>
        <w:t>及价格</w:t>
      </w:r>
      <w:r>
        <w:rPr>
          <w:rFonts w:ascii="Calibri" w:hAnsi="宋体"/>
          <w:color w:val="auto"/>
          <w:szCs w:val="21"/>
          <w:highlight w:val="none"/>
        </w:rPr>
        <w:t>部分以打分的方式进行评议。</w:t>
      </w:r>
    </w:p>
    <w:p>
      <w:pPr>
        <w:spacing w:line="440" w:lineRule="exact"/>
        <w:ind w:firstLine="422" w:firstLineChars="200"/>
        <w:rPr>
          <w:rFonts w:ascii="Calibri" w:hAnsi="Calibri"/>
          <w:b/>
          <w:color w:val="auto"/>
          <w:szCs w:val="21"/>
          <w:highlight w:val="none"/>
        </w:rPr>
      </w:pPr>
      <w:r>
        <w:rPr>
          <w:rFonts w:hint="eastAsia" w:ascii="宋体" w:hAnsi="宋体"/>
          <w:b/>
          <w:color w:val="auto"/>
          <w:szCs w:val="21"/>
          <w:highlight w:val="none"/>
        </w:rPr>
        <w:t>3、</w:t>
      </w:r>
      <w:r>
        <w:rPr>
          <w:rFonts w:ascii="Calibri" w:hAnsi="宋体"/>
          <w:b/>
          <w:color w:val="auto"/>
          <w:szCs w:val="21"/>
          <w:highlight w:val="none"/>
        </w:rPr>
        <w:t>中标</w:t>
      </w:r>
      <w:r>
        <w:rPr>
          <w:rFonts w:hint="eastAsia" w:ascii="Calibri" w:hAnsi="宋体"/>
          <w:b/>
          <w:color w:val="auto"/>
          <w:szCs w:val="21"/>
          <w:highlight w:val="none"/>
        </w:rPr>
        <w:t>单位</w:t>
      </w:r>
      <w:r>
        <w:rPr>
          <w:rFonts w:ascii="Calibri" w:hAnsi="宋体"/>
          <w:b/>
          <w:color w:val="auto"/>
          <w:szCs w:val="21"/>
          <w:highlight w:val="none"/>
        </w:rPr>
        <w:t>的确定</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3.1  </w:t>
      </w:r>
      <w:r>
        <w:rPr>
          <w:rFonts w:hint="eastAsia" w:ascii="宋体" w:hAnsi="宋体"/>
          <w:b/>
          <w:bCs/>
          <w:color w:val="auto"/>
          <w:szCs w:val="21"/>
          <w:highlight w:val="none"/>
        </w:rPr>
        <w:t>候选中标供应商推荐</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（1）每个投标单位的评标总得分以</w:t>
      </w:r>
      <w:r>
        <w:rPr>
          <w:rFonts w:hint="eastAsia" w:ascii="宋体" w:hAnsi="宋体"/>
          <w:color w:val="auto"/>
          <w:szCs w:val="21"/>
          <w:highlight w:val="none"/>
        </w:rPr>
        <w:t>所有评标委员会成员的独立评分汇总</w:t>
      </w:r>
      <w:r>
        <w:rPr>
          <w:rFonts w:hint="eastAsia" w:ascii="宋体" w:hAnsi="宋体"/>
          <w:bCs/>
          <w:color w:val="auto"/>
          <w:szCs w:val="21"/>
          <w:highlight w:val="none"/>
        </w:rPr>
        <w:t>后确定，</w:t>
      </w:r>
      <w:r>
        <w:rPr>
          <w:rFonts w:ascii="宋体" w:hAnsi="宋体"/>
          <w:bCs/>
          <w:color w:val="auto"/>
          <w:szCs w:val="21"/>
          <w:highlight w:val="none"/>
        </w:rPr>
        <w:t>评标总得分相同的，按投标报价由低到高顺序排列；评标总得分且投标报价相同的，按技术指标</w:t>
      </w:r>
      <w:r>
        <w:rPr>
          <w:rFonts w:hint="eastAsia" w:ascii="宋体" w:hAnsi="宋体"/>
          <w:bCs/>
          <w:color w:val="auto"/>
          <w:szCs w:val="21"/>
          <w:highlight w:val="none"/>
        </w:rPr>
        <w:t>（技术部分）</w:t>
      </w:r>
      <w:r>
        <w:rPr>
          <w:rFonts w:ascii="宋体" w:hAnsi="宋体"/>
          <w:bCs/>
          <w:color w:val="auto"/>
          <w:szCs w:val="21"/>
          <w:highlight w:val="none"/>
        </w:rPr>
        <w:t>得分优劣顺序排列</w:t>
      </w:r>
      <w:r>
        <w:rPr>
          <w:rFonts w:hint="eastAsia" w:ascii="Calibri" w:hAnsi="宋体"/>
          <w:color w:val="auto"/>
          <w:szCs w:val="21"/>
          <w:highlight w:val="none"/>
        </w:rPr>
        <w:t>；如</w:t>
      </w:r>
      <w:r>
        <w:rPr>
          <w:rFonts w:ascii="Calibri" w:hAnsi="宋体"/>
          <w:color w:val="auto"/>
          <w:szCs w:val="21"/>
          <w:highlight w:val="none"/>
        </w:rPr>
        <w:t>技术指标</w:t>
      </w:r>
      <w:r>
        <w:rPr>
          <w:rFonts w:hint="eastAsia" w:ascii="Calibri" w:hAnsi="宋体"/>
          <w:color w:val="auto"/>
          <w:szCs w:val="21"/>
          <w:highlight w:val="none"/>
        </w:rPr>
        <w:t>（技术部分）</w:t>
      </w:r>
      <w:r>
        <w:rPr>
          <w:rFonts w:ascii="Calibri" w:hAnsi="宋体"/>
          <w:color w:val="auto"/>
          <w:szCs w:val="21"/>
          <w:highlight w:val="none"/>
        </w:rPr>
        <w:t>得分</w:t>
      </w:r>
      <w:r>
        <w:rPr>
          <w:rFonts w:hint="eastAsia" w:ascii="Calibri" w:hAnsi="宋体"/>
          <w:color w:val="auto"/>
          <w:szCs w:val="21"/>
          <w:highlight w:val="none"/>
        </w:rPr>
        <w:t>仍然相同的，则采用抽签方式确定排序，</w:t>
      </w:r>
      <w:r>
        <w:rPr>
          <w:rFonts w:hint="eastAsia" w:asciiTheme="minorEastAsia" w:hAnsiTheme="minorEastAsia" w:eastAsiaTheme="minorEastAsia"/>
          <w:color w:val="auto"/>
          <w:szCs w:val="21"/>
          <w:highlight w:val="none"/>
        </w:rPr>
        <w:t>具体操作办法及流程由评标委员会确定</w:t>
      </w:r>
      <w:r>
        <w:rPr>
          <w:rFonts w:ascii="宋体" w:hAnsi="宋体"/>
          <w:bCs/>
          <w:color w:val="auto"/>
          <w:szCs w:val="21"/>
          <w:highlight w:val="none"/>
        </w:rPr>
        <w:t>。</w:t>
      </w:r>
    </w:p>
    <w:p>
      <w:pPr>
        <w:spacing w:line="440" w:lineRule="exact"/>
        <w:ind w:firstLine="420" w:firstLineChars="200"/>
        <w:rPr>
          <w:color w:val="auto"/>
          <w:szCs w:val="21"/>
          <w:highlight w:val="none"/>
        </w:rPr>
      </w:pPr>
      <w:r>
        <w:rPr>
          <w:rFonts w:hint="eastAsia" w:ascii="宋体" w:hAnsi="宋体"/>
          <w:bCs/>
          <w:color w:val="auto"/>
          <w:szCs w:val="21"/>
          <w:highlight w:val="none"/>
        </w:rPr>
        <w:t>（2）评标委员会按照综合评分的排名结果推荐中标候选供应商，</w:t>
      </w:r>
      <w:r>
        <w:rPr>
          <w:rFonts w:hint="eastAsia" w:ascii="宋体" w:hAnsi="宋体"/>
          <w:color w:val="auto"/>
          <w:szCs w:val="21"/>
          <w:highlight w:val="none"/>
        </w:rPr>
        <w:t>排名前三的投标单位</w:t>
      </w:r>
      <w:r>
        <w:rPr>
          <w:rFonts w:hint="eastAsia" w:ascii="宋体" w:hAnsi="宋体"/>
          <w:bCs/>
          <w:color w:val="auto"/>
          <w:szCs w:val="21"/>
          <w:highlight w:val="none"/>
        </w:rPr>
        <w:t>作为推荐的候选中标供应商。</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3.2  定标</w:t>
      </w:r>
    </w:p>
    <w:p>
      <w:pPr>
        <w:spacing w:line="440" w:lineRule="exact"/>
        <w:ind w:firstLine="420" w:firstLineChars="200"/>
        <w:rPr>
          <w:rFonts w:ascii="Calibri" w:hAnsi="Calibri"/>
          <w:color w:val="auto"/>
          <w:szCs w:val="21"/>
          <w:highlight w:val="none"/>
        </w:rPr>
      </w:pPr>
      <w:r>
        <w:rPr>
          <w:rFonts w:hint="eastAsia" w:ascii="宋体" w:hAnsi="宋体"/>
          <w:bCs/>
          <w:color w:val="auto"/>
          <w:szCs w:val="21"/>
          <w:highlight w:val="none"/>
        </w:rPr>
        <w:t>采购方授权评标委员会确定中标单位，确定评标总得分最高且</w:t>
      </w:r>
      <w:r>
        <w:rPr>
          <w:rFonts w:ascii="宋体" w:hAnsi="宋体"/>
          <w:bCs/>
          <w:color w:val="auto"/>
          <w:szCs w:val="21"/>
          <w:highlight w:val="none"/>
        </w:rPr>
        <w:t>排名第一</w:t>
      </w:r>
      <w:r>
        <w:rPr>
          <w:rFonts w:hint="eastAsia" w:ascii="宋体" w:hAnsi="宋体"/>
          <w:bCs/>
          <w:color w:val="auto"/>
          <w:szCs w:val="21"/>
          <w:highlight w:val="none"/>
        </w:rPr>
        <w:t>的投标人为中标单位。</w:t>
      </w:r>
    </w:p>
    <w:p>
      <w:pPr>
        <w:pStyle w:val="6"/>
        <w:numPr>
          <w:ilvl w:val="0"/>
          <w:numId w:val="1"/>
        </w:numPr>
        <w:spacing w:line="440" w:lineRule="exact"/>
        <w:ind w:firstLineChars="0"/>
        <w:rPr>
          <w:rFonts w:ascii="宋体" w:hAnsi="宋体"/>
          <w:b/>
          <w:color w:val="auto"/>
          <w:szCs w:val="21"/>
          <w:highlight w:val="none"/>
        </w:rPr>
      </w:pPr>
      <w:r>
        <w:rPr>
          <w:b/>
          <w:color w:val="auto"/>
          <w:szCs w:val="21"/>
          <w:highlight w:val="none"/>
        </w:rPr>
        <w:t>最低价法</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符合性检查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评标委员会根据</w:t>
      </w:r>
      <w:r>
        <w:rPr>
          <w:rFonts w:hint="eastAsia" w:ascii="宋体" w:hAnsi="宋体"/>
          <w:bCs/>
          <w:color w:val="auto"/>
          <w:szCs w:val="21"/>
          <w:highlight w:val="none"/>
        </w:rPr>
        <w:t>《</w:t>
      </w:r>
      <w:r>
        <w:rPr>
          <w:rFonts w:ascii="宋体" w:hAnsi="宋体"/>
          <w:bCs/>
          <w:color w:val="auto"/>
          <w:szCs w:val="21"/>
          <w:highlight w:val="none"/>
        </w:rPr>
        <w:t>符合性检查表》的内容和标准，对所有</w:t>
      </w:r>
      <w:r>
        <w:rPr>
          <w:rFonts w:hint="eastAsia" w:ascii="宋体" w:hAnsi="宋体"/>
          <w:bCs/>
          <w:color w:val="auto"/>
          <w:szCs w:val="21"/>
          <w:highlight w:val="none"/>
        </w:rPr>
        <w:t>通过资格性核查的</w:t>
      </w:r>
      <w:r>
        <w:rPr>
          <w:rFonts w:ascii="宋体" w:hAnsi="宋体"/>
          <w:bCs/>
          <w:color w:val="auto"/>
          <w:szCs w:val="21"/>
          <w:highlight w:val="none"/>
        </w:rPr>
        <w:t>投标</w:t>
      </w:r>
      <w:r>
        <w:rPr>
          <w:rFonts w:hint="eastAsia" w:ascii="宋体" w:hAnsi="宋体"/>
          <w:bCs/>
          <w:color w:val="auto"/>
          <w:szCs w:val="21"/>
          <w:highlight w:val="none"/>
        </w:rPr>
        <w:t>文件</w:t>
      </w:r>
      <w:r>
        <w:rPr>
          <w:rFonts w:ascii="宋体" w:hAnsi="宋体"/>
          <w:bCs/>
          <w:color w:val="auto"/>
          <w:szCs w:val="21"/>
          <w:highlight w:val="none"/>
        </w:rPr>
        <w:t>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符合性检查的对象是投标人提交的投标文件，评标委员会只就投标文件中所载明的情况进行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Calibri" w:hAnsi="Calibri"/>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符</w:t>
      </w:r>
      <w:r>
        <w:rPr>
          <w:rFonts w:ascii="Calibri" w:hAnsi="宋体"/>
          <w:color w:val="auto"/>
          <w:szCs w:val="21"/>
          <w:highlight w:val="none"/>
        </w:rPr>
        <w:t>合性检查的结果是</w:t>
      </w:r>
      <w:r>
        <w:rPr>
          <w:rFonts w:ascii="Calibri" w:hAnsi="Calibri"/>
          <w:color w:val="auto"/>
          <w:szCs w:val="21"/>
          <w:highlight w:val="none"/>
        </w:rPr>
        <w:t>“</w:t>
      </w:r>
      <w:r>
        <w:rPr>
          <w:rFonts w:ascii="Calibri" w:hAnsi="宋体"/>
          <w:color w:val="auto"/>
          <w:szCs w:val="21"/>
          <w:highlight w:val="none"/>
        </w:rPr>
        <w:t>通过</w:t>
      </w:r>
      <w:r>
        <w:rPr>
          <w:rFonts w:ascii="Calibri" w:hAnsi="Calibri"/>
          <w:color w:val="auto"/>
          <w:szCs w:val="21"/>
          <w:highlight w:val="none"/>
        </w:rPr>
        <w:t>”</w:t>
      </w:r>
      <w:r>
        <w:rPr>
          <w:rFonts w:ascii="Calibri" w:hAnsi="宋体"/>
          <w:color w:val="auto"/>
          <w:szCs w:val="21"/>
          <w:highlight w:val="none"/>
        </w:rPr>
        <w:t>或</w:t>
      </w:r>
      <w:r>
        <w:rPr>
          <w:rFonts w:ascii="Calibri" w:hAnsi="Calibri"/>
          <w:color w:val="auto"/>
          <w:szCs w:val="21"/>
          <w:highlight w:val="none"/>
        </w:rPr>
        <w:t>“</w:t>
      </w:r>
      <w:r>
        <w:rPr>
          <w:rFonts w:ascii="Calibri" w:hAnsi="宋体"/>
          <w:color w:val="auto"/>
          <w:szCs w:val="21"/>
          <w:highlight w:val="none"/>
        </w:rPr>
        <w:t>不通过</w:t>
      </w:r>
      <w:r>
        <w:rPr>
          <w:rFonts w:ascii="Calibri" w:hAnsi="Calibri"/>
          <w:color w:val="auto"/>
          <w:szCs w:val="21"/>
          <w:highlight w:val="none"/>
        </w:rPr>
        <w:t>”</w:t>
      </w:r>
      <w:r>
        <w:rPr>
          <w:rFonts w:ascii="Calibri" w:hAnsi="宋体"/>
          <w:color w:val="auto"/>
          <w:szCs w:val="21"/>
          <w:highlight w:val="none"/>
        </w:rPr>
        <w:t>，只有逐条通过</w:t>
      </w:r>
      <w:r>
        <w:rPr>
          <w:rFonts w:ascii="宋体" w:hAnsi="宋体"/>
          <w:bCs/>
          <w:color w:val="auto"/>
          <w:szCs w:val="21"/>
          <w:highlight w:val="none"/>
        </w:rPr>
        <w:t>《符合性检查表》</w:t>
      </w:r>
      <w:r>
        <w:rPr>
          <w:rFonts w:ascii="Calibri" w:hAnsi="宋体"/>
          <w:color w:val="auto"/>
          <w:szCs w:val="21"/>
          <w:highlight w:val="none"/>
        </w:rPr>
        <w:t>各项检查的投标方能进入下一阶段的评标，否则将导致其投标被废标。</w:t>
      </w:r>
    </w:p>
    <w:p>
      <w:pPr>
        <w:spacing w:line="440" w:lineRule="exact"/>
        <w:ind w:firstLine="422" w:firstLineChars="200"/>
        <w:rPr>
          <w:rFonts w:ascii="Calibri" w:hAnsi="Calibri"/>
          <w:b/>
          <w:color w:val="auto"/>
          <w:szCs w:val="21"/>
          <w:highlight w:val="none"/>
        </w:rPr>
      </w:pPr>
      <w:r>
        <w:rPr>
          <w:rFonts w:hint="eastAsia" w:ascii="宋体" w:hAnsi="宋体"/>
          <w:b/>
          <w:color w:val="auto"/>
          <w:szCs w:val="21"/>
          <w:highlight w:val="none"/>
        </w:rPr>
        <w:t>2、</w:t>
      </w:r>
      <w:r>
        <w:rPr>
          <w:rFonts w:ascii="Calibri" w:hAnsi="宋体"/>
          <w:b/>
          <w:color w:val="auto"/>
          <w:szCs w:val="21"/>
          <w:highlight w:val="none"/>
        </w:rPr>
        <w:t>中标</w:t>
      </w:r>
      <w:r>
        <w:rPr>
          <w:rFonts w:hint="eastAsia" w:ascii="Calibri" w:hAnsi="宋体"/>
          <w:b/>
          <w:color w:val="auto"/>
          <w:szCs w:val="21"/>
          <w:highlight w:val="none"/>
        </w:rPr>
        <w:t>单位</w:t>
      </w:r>
      <w:r>
        <w:rPr>
          <w:rFonts w:ascii="Calibri" w:hAnsi="宋体"/>
          <w:b/>
          <w:color w:val="auto"/>
          <w:szCs w:val="21"/>
          <w:highlight w:val="none"/>
        </w:rPr>
        <w:t>的确定</w:t>
      </w:r>
    </w:p>
    <w:p>
      <w:pPr>
        <w:spacing w:line="440" w:lineRule="exact"/>
        <w:ind w:firstLine="422" w:firstLineChars="20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 xml:space="preserve">.1  </w:t>
      </w:r>
      <w:r>
        <w:rPr>
          <w:rFonts w:hint="eastAsia" w:ascii="宋体" w:hAnsi="宋体"/>
          <w:b/>
          <w:bCs/>
          <w:color w:val="auto"/>
          <w:szCs w:val="21"/>
          <w:highlight w:val="none"/>
        </w:rPr>
        <w:t>候选中标供应商推荐</w:t>
      </w:r>
    </w:p>
    <w:p>
      <w:pPr>
        <w:spacing w:line="440" w:lineRule="exact"/>
        <w:ind w:firstLine="435"/>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评标委员会对通过上述检查且最终报价不超过预算控制金额</w:t>
      </w:r>
      <w:r>
        <w:rPr>
          <w:rFonts w:hint="eastAsia" w:ascii="宋体" w:hAnsi="宋体"/>
          <w:color w:val="auto"/>
          <w:szCs w:val="21"/>
          <w:highlight w:val="none"/>
        </w:rPr>
        <w:t>的投标单位进行审查，并</w:t>
      </w:r>
      <w:r>
        <w:rPr>
          <w:rFonts w:ascii="Calibri" w:hAnsi="宋体"/>
          <w:color w:val="auto"/>
          <w:szCs w:val="21"/>
          <w:highlight w:val="none"/>
        </w:rPr>
        <w:t>按投标报价由低到高</w:t>
      </w:r>
      <w:r>
        <w:rPr>
          <w:rFonts w:hint="eastAsia" w:ascii="Calibri" w:hAnsi="宋体"/>
          <w:color w:val="auto"/>
          <w:szCs w:val="21"/>
          <w:highlight w:val="none"/>
        </w:rPr>
        <w:t>排序；</w:t>
      </w:r>
      <w:r>
        <w:rPr>
          <w:rFonts w:ascii="Calibri" w:hAnsi="宋体"/>
          <w:color w:val="auto"/>
          <w:szCs w:val="21"/>
          <w:highlight w:val="none"/>
        </w:rPr>
        <w:t>投标报价相同的，按技术指标优劣顺序排列</w:t>
      </w:r>
      <w:r>
        <w:rPr>
          <w:rFonts w:hint="eastAsia" w:ascii="Calibri" w:hAnsi="宋体"/>
          <w:color w:val="auto"/>
          <w:szCs w:val="21"/>
          <w:highlight w:val="none"/>
        </w:rPr>
        <w:t>；技术指标仍然相同的，则采用抽签方式确定排序，</w:t>
      </w:r>
      <w:r>
        <w:rPr>
          <w:rFonts w:hint="eastAsia" w:asciiTheme="minorEastAsia" w:hAnsiTheme="minorEastAsia" w:eastAsiaTheme="minorEastAsia"/>
          <w:color w:val="auto"/>
          <w:szCs w:val="21"/>
          <w:highlight w:val="none"/>
        </w:rPr>
        <w:t>具体操作办法及流程由评标委员会确定</w:t>
      </w:r>
      <w:r>
        <w:rPr>
          <w:rFonts w:ascii="Calibri" w:hAnsi="宋体"/>
          <w:color w:val="auto"/>
          <w:szCs w:val="21"/>
          <w:highlight w:val="none"/>
        </w:rPr>
        <w:t>。</w:t>
      </w:r>
      <w:r>
        <w:rPr>
          <w:rFonts w:hint="eastAsia" w:ascii="宋体" w:hAnsi="宋体"/>
          <w:color w:val="auto"/>
          <w:szCs w:val="21"/>
          <w:highlight w:val="none"/>
        </w:rPr>
        <w:t>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pPr>
        <w:spacing w:line="440" w:lineRule="exact"/>
        <w:ind w:firstLine="435"/>
        <w:rPr>
          <w:rFonts w:ascii="宋体" w:hAnsi="宋体"/>
          <w:b/>
          <w:bCs/>
          <w:color w:val="auto"/>
          <w:szCs w:val="21"/>
          <w:highlight w:val="none"/>
        </w:rPr>
      </w:pPr>
      <w:r>
        <w:rPr>
          <w:rFonts w:hint="eastAsia" w:ascii="宋体" w:hAnsi="宋体"/>
          <w:bCs/>
          <w:color w:val="auto"/>
          <w:szCs w:val="21"/>
          <w:highlight w:val="none"/>
        </w:rPr>
        <w:t>（2）评标委员会按照上述投标</w:t>
      </w:r>
      <w:r>
        <w:rPr>
          <w:rFonts w:ascii="宋体" w:hAnsi="宋体"/>
          <w:bCs/>
          <w:color w:val="auto"/>
          <w:szCs w:val="21"/>
          <w:highlight w:val="none"/>
        </w:rPr>
        <w:t>报价的</w:t>
      </w:r>
      <w:r>
        <w:rPr>
          <w:rFonts w:hint="eastAsia" w:ascii="宋体" w:hAnsi="宋体"/>
          <w:bCs/>
          <w:color w:val="auto"/>
          <w:szCs w:val="21"/>
          <w:highlight w:val="none"/>
        </w:rPr>
        <w:t>排序结果推荐中标候选供应商，</w:t>
      </w:r>
      <w:r>
        <w:rPr>
          <w:rFonts w:hint="eastAsia" w:ascii="宋体" w:hAnsi="宋体"/>
          <w:color w:val="auto"/>
          <w:szCs w:val="21"/>
          <w:highlight w:val="none"/>
        </w:rPr>
        <w:t>排名前三的投标单位</w:t>
      </w:r>
      <w:r>
        <w:rPr>
          <w:rFonts w:hint="eastAsia" w:ascii="宋体" w:hAnsi="宋体"/>
          <w:bCs/>
          <w:color w:val="auto"/>
          <w:szCs w:val="21"/>
          <w:highlight w:val="none"/>
        </w:rPr>
        <w:t>作为推荐的候选中标供应商。</w:t>
      </w:r>
    </w:p>
    <w:p>
      <w:pPr>
        <w:spacing w:line="440" w:lineRule="exact"/>
        <w:ind w:firstLine="435"/>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 xml:space="preserve">.2  </w:t>
      </w:r>
      <w:r>
        <w:rPr>
          <w:rFonts w:hint="eastAsia" w:ascii="宋体" w:hAnsi="宋体"/>
          <w:b/>
          <w:color w:val="auto"/>
          <w:szCs w:val="21"/>
          <w:highlight w:val="none"/>
        </w:rPr>
        <w:t>定标</w:t>
      </w:r>
    </w:p>
    <w:p>
      <w:pPr>
        <w:spacing w:line="440" w:lineRule="exact"/>
        <w:ind w:firstLine="435"/>
        <w:rPr>
          <w:rFonts w:ascii="宋体" w:hAnsi="宋体"/>
          <w:color w:val="auto"/>
          <w:szCs w:val="21"/>
          <w:highlight w:val="none"/>
        </w:rPr>
      </w:pPr>
      <w:r>
        <w:rPr>
          <w:rFonts w:ascii="宋体" w:hAnsi="宋体"/>
          <w:color w:val="auto"/>
          <w:szCs w:val="21"/>
          <w:highlight w:val="none"/>
        </w:rPr>
        <w:t>采购方授权评标委员会确定中标单位，</w:t>
      </w:r>
      <w:r>
        <w:rPr>
          <w:rFonts w:hint="eastAsia" w:ascii="宋体" w:hAnsi="宋体"/>
          <w:color w:val="auto"/>
          <w:szCs w:val="21"/>
          <w:highlight w:val="none"/>
        </w:rPr>
        <w:t>确定</w:t>
      </w:r>
      <w:r>
        <w:rPr>
          <w:rFonts w:ascii="宋体" w:hAnsi="宋体"/>
          <w:color w:val="auto"/>
          <w:szCs w:val="21"/>
          <w:highlight w:val="none"/>
        </w:rPr>
        <w:t>投标</w:t>
      </w:r>
      <w:r>
        <w:rPr>
          <w:rFonts w:hint="eastAsia" w:ascii="宋体" w:hAnsi="宋体"/>
          <w:color w:val="auto"/>
          <w:szCs w:val="21"/>
          <w:highlight w:val="none"/>
        </w:rPr>
        <w:t>报价</w:t>
      </w:r>
      <w:r>
        <w:rPr>
          <w:rFonts w:ascii="宋体" w:hAnsi="宋体"/>
          <w:color w:val="auto"/>
          <w:szCs w:val="21"/>
          <w:highlight w:val="none"/>
        </w:rPr>
        <w:t>最低</w:t>
      </w:r>
      <w:r>
        <w:rPr>
          <w:rFonts w:hint="eastAsia" w:ascii="宋体" w:hAnsi="宋体"/>
          <w:color w:val="auto"/>
          <w:szCs w:val="21"/>
          <w:highlight w:val="none"/>
        </w:rPr>
        <w:t>且</w:t>
      </w:r>
      <w:r>
        <w:rPr>
          <w:rFonts w:ascii="宋体" w:hAnsi="宋体"/>
          <w:color w:val="auto"/>
          <w:szCs w:val="21"/>
          <w:highlight w:val="none"/>
        </w:rPr>
        <w:t>排名第一的投标供应商为中标</w:t>
      </w:r>
      <w:r>
        <w:rPr>
          <w:rFonts w:hint="eastAsia" w:ascii="宋体" w:hAnsi="宋体"/>
          <w:color w:val="auto"/>
          <w:szCs w:val="21"/>
          <w:highlight w:val="none"/>
        </w:rPr>
        <w:t>单位。</w:t>
      </w:r>
    </w:p>
    <w:p>
      <w:pPr>
        <w:spacing w:line="440" w:lineRule="exact"/>
        <w:ind w:firstLine="422" w:firstLineChars="200"/>
        <w:rPr>
          <w:b/>
          <w:color w:val="auto"/>
          <w:highlight w:val="none"/>
        </w:rPr>
      </w:pPr>
      <w:r>
        <w:rPr>
          <w:rFonts w:hint="eastAsia"/>
          <w:b/>
          <w:color w:val="auto"/>
          <w:highlight w:val="none"/>
        </w:rPr>
        <w:t>（二）评标和定标分离的方式</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符合性检查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评标委员会根据</w:t>
      </w:r>
      <w:r>
        <w:rPr>
          <w:rFonts w:hint="eastAsia" w:ascii="宋体" w:hAnsi="宋体"/>
          <w:bCs/>
          <w:color w:val="auto"/>
          <w:szCs w:val="21"/>
          <w:highlight w:val="none"/>
        </w:rPr>
        <w:t>《</w:t>
      </w:r>
      <w:r>
        <w:rPr>
          <w:rFonts w:ascii="宋体" w:hAnsi="宋体"/>
          <w:bCs/>
          <w:color w:val="auto"/>
          <w:szCs w:val="21"/>
          <w:highlight w:val="none"/>
        </w:rPr>
        <w:t>符合性检查表》的内容和标准，对所有</w:t>
      </w:r>
      <w:r>
        <w:rPr>
          <w:rFonts w:hint="eastAsia" w:ascii="宋体" w:hAnsi="宋体"/>
          <w:bCs/>
          <w:color w:val="auto"/>
          <w:szCs w:val="21"/>
          <w:highlight w:val="none"/>
        </w:rPr>
        <w:t>通过资格性核查的</w:t>
      </w:r>
      <w:r>
        <w:rPr>
          <w:rFonts w:ascii="宋体" w:hAnsi="宋体"/>
          <w:bCs/>
          <w:color w:val="auto"/>
          <w:szCs w:val="21"/>
          <w:highlight w:val="none"/>
        </w:rPr>
        <w:t>投标</w:t>
      </w:r>
      <w:r>
        <w:rPr>
          <w:rFonts w:hint="eastAsia" w:ascii="宋体" w:hAnsi="宋体"/>
          <w:bCs/>
          <w:color w:val="auto"/>
          <w:szCs w:val="21"/>
          <w:highlight w:val="none"/>
        </w:rPr>
        <w:t>文件</w:t>
      </w:r>
      <w:r>
        <w:rPr>
          <w:rFonts w:ascii="宋体" w:hAnsi="宋体"/>
          <w:bCs/>
          <w:color w:val="auto"/>
          <w:szCs w:val="21"/>
          <w:highlight w:val="none"/>
        </w:rPr>
        <w:t>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符合性检查的对象是投标人提交的投标文件，评标委员会只就投标文件中所载明的情况进行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Calibri" w:hAnsi="Calibri"/>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符</w:t>
      </w:r>
      <w:r>
        <w:rPr>
          <w:rFonts w:ascii="Calibri" w:hAnsi="宋体"/>
          <w:color w:val="auto"/>
          <w:szCs w:val="21"/>
          <w:highlight w:val="none"/>
        </w:rPr>
        <w:t>合性检查的结果是</w:t>
      </w:r>
      <w:r>
        <w:rPr>
          <w:rFonts w:ascii="Calibri" w:hAnsi="Calibri"/>
          <w:color w:val="auto"/>
          <w:szCs w:val="21"/>
          <w:highlight w:val="none"/>
        </w:rPr>
        <w:t>“</w:t>
      </w:r>
      <w:r>
        <w:rPr>
          <w:rFonts w:ascii="Calibri" w:hAnsi="宋体"/>
          <w:color w:val="auto"/>
          <w:szCs w:val="21"/>
          <w:highlight w:val="none"/>
        </w:rPr>
        <w:t>通过</w:t>
      </w:r>
      <w:r>
        <w:rPr>
          <w:rFonts w:ascii="Calibri" w:hAnsi="Calibri"/>
          <w:color w:val="auto"/>
          <w:szCs w:val="21"/>
          <w:highlight w:val="none"/>
        </w:rPr>
        <w:t>”</w:t>
      </w:r>
      <w:r>
        <w:rPr>
          <w:rFonts w:ascii="Calibri" w:hAnsi="宋体"/>
          <w:color w:val="auto"/>
          <w:szCs w:val="21"/>
          <w:highlight w:val="none"/>
        </w:rPr>
        <w:t>或</w:t>
      </w:r>
      <w:r>
        <w:rPr>
          <w:rFonts w:ascii="Calibri" w:hAnsi="Calibri"/>
          <w:color w:val="auto"/>
          <w:szCs w:val="21"/>
          <w:highlight w:val="none"/>
        </w:rPr>
        <w:t>“</w:t>
      </w:r>
      <w:r>
        <w:rPr>
          <w:rFonts w:ascii="Calibri" w:hAnsi="宋体"/>
          <w:color w:val="auto"/>
          <w:szCs w:val="21"/>
          <w:highlight w:val="none"/>
        </w:rPr>
        <w:t>不通过</w:t>
      </w:r>
      <w:r>
        <w:rPr>
          <w:rFonts w:ascii="Calibri" w:hAnsi="Calibri"/>
          <w:color w:val="auto"/>
          <w:szCs w:val="21"/>
          <w:highlight w:val="none"/>
        </w:rPr>
        <w:t>”</w:t>
      </w:r>
      <w:r>
        <w:rPr>
          <w:rFonts w:ascii="Calibri" w:hAnsi="宋体"/>
          <w:color w:val="auto"/>
          <w:szCs w:val="21"/>
          <w:highlight w:val="none"/>
        </w:rPr>
        <w:t>，只有逐条通过</w:t>
      </w:r>
      <w:r>
        <w:rPr>
          <w:rFonts w:ascii="宋体" w:hAnsi="宋体"/>
          <w:bCs/>
          <w:color w:val="auto"/>
          <w:szCs w:val="21"/>
          <w:highlight w:val="none"/>
        </w:rPr>
        <w:t>《符合性检查表》</w:t>
      </w:r>
      <w:r>
        <w:rPr>
          <w:rFonts w:ascii="Calibri" w:hAnsi="宋体"/>
          <w:color w:val="auto"/>
          <w:szCs w:val="21"/>
          <w:highlight w:val="none"/>
        </w:rPr>
        <w:t>各项检查的投标方能进入下一阶段的评标，否则将导致其投标被废标。</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商务</w:t>
      </w:r>
      <w:r>
        <w:rPr>
          <w:rFonts w:hint="eastAsia" w:ascii="宋体" w:hAnsi="宋体"/>
          <w:b/>
          <w:color w:val="auto"/>
          <w:szCs w:val="21"/>
          <w:highlight w:val="none"/>
        </w:rPr>
        <w:t>、</w:t>
      </w:r>
      <w:r>
        <w:rPr>
          <w:rFonts w:ascii="宋体" w:hAnsi="宋体"/>
          <w:b/>
          <w:color w:val="auto"/>
          <w:szCs w:val="21"/>
          <w:highlight w:val="none"/>
        </w:rPr>
        <w:t>技术及价格评议</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评标委员会根据《</w:t>
      </w:r>
      <w:r>
        <w:rPr>
          <w:rFonts w:hint="eastAsia" w:ascii="宋体" w:hAnsi="宋体"/>
          <w:color w:val="auto"/>
          <w:szCs w:val="21"/>
          <w:highlight w:val="none"/>
        </w:rPr>
        <w:t>评分表</w:t>
      </w:r>
      <w:r>
        <w:rPr>
          <w:rFonts w:ascii="宋体" w:hAnsi="宋体"/>
          <w:color w:val="auto"/>
          <w:szCs w:val="21"/>
          <w:highlight w:val="none"/>
        </w:rPr>
        <w:t>》的内容和标准，对通过</w:t>
      </w:r>
      <w:r>
        <w:rPr>
          <w:rFonts w:hint="eastAsia" w:ascii="宋体" w:hAnsi="宋体"/>
          <w:bCs/>
          <w:color w:val="auto"/>
          <w:szCs w:val="21"/>
          <w:highlight w:val="none"/>
        </w:rPr>
        <w:t>资格性和</w:t>
      </w:r>
      <w:r>
        <w:rPr>
          <w:rFonts w:ascii="宋体" w:hAnsi="宋体"/>
          <w:bCs/>
          <w:color w:val="auto"/>
          <w:szCs w:val="21"/>
          <w:highlight w:val="none"/>
        </w:rPr>
        <w:t>符合性</w:t>
      </w:r>
      <w:r>
        <w:rPr>
          <w:rFonts w:ascii="宋体" w:hAnsi="宋体"/>
          <w:color w:val="auto"/>
          <w:szCs w:val="21"/>
          <w:highlight w:val="none"/>
        </w:rPr>
        <w:t>检查的投标进行商务</w:t>
      </w:r>
      <w:r>
        <w:rPr>
          <w:rFonts w:hint="eastAsia" w:ascii="宋体" w:hAnsi="宋体"/>
          <w:color w:val="auto"/>
          <w:szCs w:val="21"/>
          <w:highlight w:val="none"/>
        </w:rPr>
        <w:t>、</w:t>
      </w:r>
      <w:r>
        <w:rPr>
          <w:rFonts w:ascii="宋体" w:hAnsi="宋体"/>
          <w:color w:val="auto"/>
          <w:szCs w:val="21"/>
          <w:highlight w:val="none"/>
        </w:rPr>
        <w:t>技术</w:t>
      </w:r>
      <w:r>
        <w:rPr>
          <w:rFonts w:hint="eastAsia" w:ascii="宋体" w:hAnsi="宋体"/>
          <w:color w:val="auto"/>
          <w:szCs w:val="21"/>
          <w:highlight w:val="none"/>
        </w:rPr>
        <w:t>及价格</w:t>
      </w:r>
      <w:r>
        <w:rPr>
          <w:rFonts w:ascii="宋体" w:hAnsi="宋体"/>
          <w:color w:val="auto"/>
          <w:szCs w:val="21"/>
          <w:highlight w:val="none"/>
        </w:rPr>
        <w:t>评议。</w:t>
      </w:r>
    </w:p>
    <w:p>
      <w:pPr>
        <w:spacing w:line="440" w:lineRule="exact"/>
        <w:ind w:firstLine="420" w:firstLineChars="200"/>
        <w:rPr>
          <w:rFonts w:ascii="Calibri" w:hAnsi="Calibri"/>
          <w:color w:val="auto"/>
          <w:szCs w:val="21"/>
          <w:highlight w:val="none"/>
        </w:rPr>
      </w:pPr>
      <w:r>
        <w:rPr>
          <w:rFonts w:hint="eastAsia" w:ascii="宋体" w:hAnsi="宋体"/>
          <w:color w:val="auto"/>
          <w:szCs w:val="21"/>
          <w:highlight w:val="none"/>
        </w:rPr>
        <w:t>（2）</w:t>
      </w:r>
      <w:r>
        <w:rPr>
          <w:rFonts w:ascii="宋体" w:hAnsi="宋体"/>
          <w:color w:val="auto"/>
          <w:szCs w:val="21"/>
          <w:highlight w:val="none"/>
        </w:rPr>
        <w:t>评</w:t>
      </w:r>
      <w:r>
        <w:rPr>
          <w:rFonts w:ascii="Calibri" w:hAnsi="宋体"/>
          <w:color w:val="auto"/>
          <w:szCs w:val="21"/>
          <w:highlight w:val="none"/>
        </w:rPr>
        <w:t>标委员会将对照招标文件中的商务、技术需求条款和投标文件中的商务、技术条款响应进行评议</w:t>
      </w:r>
      <w:r>
        <w:rPr>
          <w:rFonts w:hint="eastAsia" w:ascii="Calibri" w:hAnsi="宋体"/>
          <w:color w:val="auto"/>
          <w:szCs w:val="21"/>
          <w:highlight w:val="none"/>
        </w:rPr>
        <w:t>；</w:t>
      </w:r>
      <w:r>
        <w:rPr>
          <w:rFonts w:ascii="Calibri" w:hAnsi="宋体"/>
          <w:color w:val="auto"/>
          <w:szCs w:val="21"/>
          <w:highlight w:val="none"/>
        </w:rPr>
        <w:t>评标委员会成员将按照《</w:t>
      </w:r>
      <w:r>
        <w:rPr>
          <w:rFonts w:hint="eastAsia" w:ascii="Calibri" w:hAnsi="宋体"/>
          <w:color w:val="auto"/>
          <w:szCs w:val="21"/>
          <w:highlight w:val="none"/>
        </w:rPr>
        <w:t>评分表</w:t>
      </w:r>
      <w:r>
        <w:rPr>
          <w:rFonts w:ascii="Calibri" w:hAnsi="宋体"/>
          <w:color w:val="auto"/>
          <w:szCs w:val="21"/>
          <w:highlight w:val="none"/>
        </w:rPr>
        <w:t>》确定的</w:t>
      </w:r>
      <w:r>
        <w:rPr>
          <w:rFonts w:hint="eastAsia" w:ascii="Calibri" w:hAnsi="宋体"/>
          <w:color w:val="auto"/>
          <w:szCs w:val="21"/>
          <w:highlight w:val="none"/>
        </w:rPr>
        <w:t>分值</w:t>
      </w:r>
      <w:r>
        <w:rPr>
          <w:rFonts w:ascii="Calibri" w:hAnsi="宋体"/>
          <w:color w:val="auto"/>
          <w:szCs w:val="21"/>
          <w:highlight w:val="none"/>
        </w:rPr>
        <w:t>独立对每个投标的商务</w:t>
      </w:r>
      <w:r>
        <w:rPr>
          <w:rFonts w:hint="eastAsia" w:ascii="Calibri" w:hAnsi="宋体"/>
          <w:color w:val="auto"/>
          <w:szCs w:val="21"/>
          <w:highlight w:val="none"/>
        </w:rPr>
        <w:t>、</w:t>
      </w:r>
      <w:r>
        <w:rPr>
          <w:rFonts w:ascii="Calibri" w:hAnsi="宋体"/>
          <w:color w:val="auto"/>
          <w:szCs w:val="21"/>
          <w:highlight w:val="none"/>
        </w:rPr>
        <w:t>技术</w:t>
      </w:r>
      <w:r>
        <w:rPr>
          <w:rFonts w:hint="eastAsia" w:ascii="Calibri" w:hAnsi="宋体"/>
          <w:color w:val="auto"/>
          <w:szCs w:val="21"/>
          <w:highlight w:val="none"/>
        </w:rPr>
        <w:t>及价格</w:t>
      </w:r>
      <w:r>
        <w:rPr>
          <w:rFonts w:ascii="Calibri" w:hAnsi="宋体"/>
          <w:color w:val="auto"/>
          <w:szCs w:val="21"/>
          <w:highlight w:val="none"/>
        </w:rPr>
        <w:t>部分以打分的方式进行评议。</w:t>
      </w:r>
    </w:p>
    <w:p>
      <w:pPr>
        <w:spacing w:line="440" w:lineRule="exact"/>
        <w:ind w:firstLine="422" w:firstLineChars="200"/>
        <w:rPr>
          <w:rFonts w:ascii="Calibri" w:hAnsi="Calibri"/>
          <w:b/>
          <w:color w:val="auto"/>
          <w:szCs w:val="21"/>
          <w:highlight w:val="none"/>
        </w:rPr>
      </w:pPr>
      <w:r>
        <w:rPr>
          <w:rFonts w:hint="eastAsia" w:ascii="宋体" w:hAnsi="宋体"/>
          <w:b/>
          <w:color w:val="auto"/>
          <w:szCs w:val="21"/>
          <w:highlight w:val="none"/>
        </w:rPr>
        <w:t>3、</w:t>
      </w:r>
      <w:r>
        <w:rPr>
          <w:rFonts w:ascii="Calibri" w:hAnsi="宋体"/>
          <w:b/>
          <w:color w:val="auto"/>
          <w:szCs w:val="21"/>
          <w:highlight w:val="none"/>
        </w:rPr>
        <w:t>中标</w:t>
      </w:r>
      <w:r>
        <w:rPr>
          <w:rFonts w:hint="eastAsia" w:ascii="Calibri" w:hAnsi="宋体"/>
          <w:b/>
          <w:color w:val="auto"/>
          <w:szCs w:val="21"/>
          <w:highlight w:val="none"/>
        </w:rPr>
        <w:t>单位</w:t>
      </w:r>
      <w:r>
        <w:rPr>
          <w:rFonts w:ascii="Calibri" w:hAnsi="宋体"/>
          <w:b/>
          <w:color w:val="auto"/>
          <w:szCs w:val="21"/>
          <w:highlight w:val="none"/>
        </w:rPr>
        <w:t>的确定</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3.1  </w:t>
      </w:r>
      <w:r>
        <w:rPr>
          <w:rFonts w:hint="eastAsia" w:ascii="宋体" w:hAnsi="宋体"/>
          <w:b/>
          <w:bCs/>
          <w:color w:val="auto"/>
          <w:szCs w:val="21"/>
          <w:highlight w:val="none"/>
        </w:rPr>
        <w:t>候选中标供应商推荐</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（1）每个投标单位的评标总得分以</w:t>
      </w:r>
      <w:r>
        <w:rPr>
          <w:rFonts w:hint="eastAsia" w:ascii="宋体" w:hAnsi="宋体"/>
          <w:color w:val="auto"/>
          <w:szCs w:val="21"/>
          <w:highlight w:val="none"/>
        </w:rPr>
        <w:t>所有评标委员会成员的独立评分汇总</w:t>
      </w:r>
      <w:r>
        <w:rPr>
          <w:rFonts w:hint="eastAsia" w:ascii="宋体" w:hAnsi="宋体"/>
          <w:bCs/>
          <w:color w:val="auto"/>
          <w:szCs w:val="21"/>
          <w:highlight w:val="none"/>
        </w:rPr>
        <w:t>后确定，</w:t>
      </w:r>
      <w:r>
        <w:rPr>
          <w:rFonts w:ascii="宋体" w:hAnsi="宋体"/>
          <w:bCs/>
          <w:color w:val="auto"/>
          <w:szCs w:val="21"/>
          <w:highlight w:val="none"/>
        </w:rPr>
        <w:t>评标总得分相同的，按投标报价由低到高顺序排列；评标总得分且投标报价相同的，按技术指标</w:t>
      </w:r>
      <w:r>
        <w:rPr>
          <w:rFonts w:hint="eastAsia" w:ascii="宋体" w:hAnsi="宋体"/>
          <w:bCs/>
          <w:color w:val="auto"/>
          <w:szCs w:val="21"/>
          <w:highlight w:val="none"/>
        </w:rPr>
        <w:t>（技术部分）</w:t>
      </w:r>
      <w:r>
        <w:rPr>
          <w:rFonts w:ascii="宋体" w:hAnsi="宋体"/>
          <w:bCs/>
          <w:color w:val="auto"/>
          <w:szCs w:val="21"/>
          <w:highlight w:val="none"/>
        </w:rPr>
        <w:t>得分优劣顺序排列</w:t>
      </w:r>
      <w:r>
        <w:rPr>
          <w:rFonts w:hint="eastAsia" w:ascii="Calibri" w:hAnsi="宋体"/>
          <w:color w:val="auto"/>
          <w:szCs w:val="21"/>
          <w:highlight w:val="none"/>
        </w:rPr>
        <w:t>；如</w:t>
      </w:r>
      <w:r>
        <w:rPr>
          <w:rFonts w:ascii="Calibri" w:hAnsi="宋体"/>
          <w:color w:val="auto"/>
          <w:szCs w:val="21"/>
          <w:highlight w:val="none"/>
        </w:rPr>
        <w:t>技术指标</w:t>
      </w:r>
      <w:r>
        <w:rPr>
          <w:rFonts w:hint="eastAsia" w:ascii="Calibri" w:hAnsi="宋体"/>
          <w:color w:val="auto"/>
          <w:szCs w:val="21"/>
          <w:highlight w:val="none"/>
        </w:rPr>
        <w:t>（技术部分）</w:t>
      </w:r>
      <w:r>
        <w:rPr>
          <w:rFonts w:ascii="Calibri" w:hAnsi="宋体"/>
          <w:color w:val="auto"/>
          <w:szCs w:val="21"/>
          <w:highlight w:val="none"/>
        </w:rPr>
        <w:t>得分</w:t>
      </w:r>
      <w:r>
        <w:rPr>
          <w:rFonts w:hint="eastAsia" w:ascii="Calibri" w:hAnsi="宋体"/>
          <w:color w:val="auto"/>
          <w:szCs w:val="21"/>
          <w:highlight w:val="none"/>
        </w:rPr>
        <w:t>仍然相同的，则采用抽签方式确定排序，</w:t>
      </w:r>
      <w:r>
        <w:rPr>
          <w:rFonts w:hint="eastAsia" w:asciiTheme="minorEastAsia" w:hAnsiTheme="minorEastAsia" w:eastAsiaTheme="minorEastAsia"/>
          <w:color w:val="auto"/>
          <w:szCs w:val="21"/>
          <w:highlight w:val="none"/>
        </w:rPr>
        <w:t>具体操作办法及流程由评标委员会确定</w:t>
      </w:r>
      <w:r>
        <w:rPr>
          <w:rFonts w:ascii="宋体" w:hAnsi="宋体"/>
          <w:bCs/>
          <w:color w:val="auto"/>
          <w:szCs w:val="21"/>
          <w:highlight w:val="none"/>
        </w:rPr>
        <w:t>。</w:t>
      </w:r>
    </w:p>
    <w:p>
      <w:pPr>
        <w:spacing w:line="440" w:lineRule="exact"/>
        <w:ind w:firstLine="420" w:firstLineChars="200"/>
        <w:rPr>
          <w:color w:val="auto"/>
          <w:szCs w:val="21"/>
          <w:highlight w:val="none"/>
        </w:rPr>
      </w:pPr>
      <w:r>
        <w:rPr>
          <w:rFonts w:hint="eastAsia" w:ascii="宋体" w:hAnsi="宋体"/>
          <w:bCs/>
          <w:color w:val="auto"/>
          <w:szCs w:val="21"/>
          <w:highlight w:val="none"/>
        </w:rPr>
        <w:t>（2）评标委员会按照综合评分的排名结果推荐中标候选供应商，</w:t>
      </w:r>
      <w:r>
        <w:rPr>
          <w:rFonts w:hint="eastAsia" w:ascii="宋体" w:hAnsi="宋体"/>
          <w:color w:val="auto"/>
          <w:szCs w:val="21"/>
          <w:highlight w:val="none"/>
        </w:rPr>
        <w:t>排名前三的投标单位</w:t>
      </w:r>
      <w:r>
        <w:rPr>
          <w:rFonts w:hint="eastAsia" w:ascii="宋体" w:hAnsi="宋体"/>
          <w:bCs/>
          <w:color w:val="auto"/>
          <w:szCs w:val="21"/>
          <w:highlight w:val="none"/>
        </w:rPr>
        <w:t>作为推荐的候选中标供应商（排名不分先后）。</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3.2  定标</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采购单位从评标委员会推荐的候选中标供应商中，</w:t>
      </w:r>
      <w:r>
        <w:rPr>
          <w:rFonts w:ascii="宋体" w:hAnsi="宋体"/>
          <w:bCs/>
          <w:color w:val="auto"/>
          <w:szCs w:val="21"/>
          <w:highlight w:val="none"/>
        </w:rPr>
        <w:t>采用</w:t>
      </w:r>
      <w:r>
        <w:rPr>
          <w:rFonts w:ascii="宋体" w:hAnsi="宋体"/>
          <w:b/>
          <w:bCs/>
          <w:color w:val="auto"/>
          <w:szCs w:val="21"/>
          <w:highlight w:val="none"/>
        </w:rPr>
        <w:t>自定法</w:t>
      </w:r>
      <w:r>
        <w:rPr>
          <w:rFonts w:hint="eastAsia" w:ascii="宋体" w:hAnsi="宋体"/>
          <w:bCs/>
          <w:color w:val="auto"/>
          <w:szCs w:val="21"/>
          <w:highlight w:val="none"/>
        </w:rPr>
        <w:t>自行选择确定一名中标单位，具体操作程序按照《深圳市政府采购评标定标分离管理办法》要求执行。</w:t>
      </w:r>
    </w:p>
    <w:p>
      <w:pPr>
        <w:spacing w:line="440" w:lineRule="exact"/>
        <w:ind w:firstLine="386" w:firstLineChars="183"/>
        <w:rPr>
          <w:rFonts w:ascii="宋体" w:hAnsi="宋体"/>
          <w:b/>
          <w:color w:val="auto"/>
          <w:szCs w:val="21"/>
          <w:highlight w:val="none"/>
        </w:rPr>
      </w:pPr>
      <w:r>
        <w:rPr>
          <w:rFonts w:hint="eastAsia" w:ascii="宋体" w:hAnsi="宋体"/>
          <w:b/>
          <w:color w:val="auto"/>
          <w:szCs w:val="21"/>
          <w:highlight w:val="none"/>
        </w:rPr>
        <w:t>4、质疑投诉处理：</w:t>
      </w:r>
      <w:r>
        <w:rPr>
          <w:rFonts w:hint="eastAsia" w:ascii="宋体" w:hAnsi="宋体"/>
          <w:color w:val="auto"/>
          <w:szCs w:val="21"/>
          <w:highlight w:val="none"/>
        </w:rPr>
        <w:t>确定中标单位后出现质疑投诉的，按照以下程序进行处理：（1）中标单位因质疑、投诉等问题被取消或</w:t>
      </w:r>
      <w:r>
        <w:rPr>
          <w:rFonts w:ascii="宋体" w:hAnsi="宋体"/>
          <w:color w:val="auto"/>
          <w:szCs w:val="21"/>
          <w:highlight w:val="none"/>
        </w:rPr>
        <w:t>放弃</w:t>
      </w:r>
      <w:r>
        <w:rPr>
          <w:rFonts w:hint="eastAsia" w:ascii="宋体" w:hAnsi="宋体"/>
          <w:color w:val="auto"/>
          <w:szCs w:val="21"/>
          <w:highlight w:val="none"/>
        </w:rPr>
        <w:t>候选中标资格，候选</w:t>
      </w:r>
      <w:r>
        <w:rPr>
          <w:rFonts w:ascii="宋体" w:hAnsi="宋体"/>
          <w:color w:val="auto"/>
          <w:szCs w:val="21"/>
          <w:highlight w:val="none"/>
        </w:rPr>
        <w:t>中标</w:t>
      </w:r>
      <w:r>
        <w:rPr>
          <w:rFonts w:hint="eastAsia" w:ascii="宋体" w:hAnsi="宋体"/>
          <w:color w:val="auto"/>
          <w:szCs w:val="21"/>
          <w:highlight w:val="none"/>
        </w:rPr>
        <w:t>供应商</w:t>
      </w:r>
      <w:r>
        <w:rPr>
          <w:rFonts w:ascii="宋体" w:hAnsi="宋体"/>
          <w:color w:val="auto"/>
          <w:szCs w:val="21"/>
          <w:highlight w:val="none"/>
        </w:rPr>
        <w:t>不再</w:t>
      </w:r>
      <w:r>
        <w:rPr>
          <w:rFonts w:hint="eastAsia" w:ascii="宋体" w:hAnsi="宋体"/>
          <w:color w:val="auto"/>
          <w:szCs w:val="21"/>
          <w:highlight w:val="none"/>
        </w:rPr>
        <w:t>替补</w:t>
      </w:r>
      <w:r>
        <w:rPr>
          <w:rFonts w:ascii="宋体" w:hAnsi="宋体"/>
          <w:color w:val="auto"/>
          <w:szCs w:val="21"/>
          <w:highlight w:val="none"/>
        </w:rPr>
        <w:t>，</w:t>
      </w:r>
      <w:r>
        <w:rPr>
          <w:rFonts w:hint="eastAsia" w:ascii="宋体" w:hAnsi="宋体"/>
          <w:color w:val="auto"/>
          <w:szCs w:val="21"/>
          <w:highlight w:val="none"/>
        </w:rPr>
        <w:t>如有效</w:t>
      </w:r>
      <w:r>
        <w:rPr>
          <w:rFonts w:ascii="宋体" w:hAnsi="宋体"/>
          <w:color w:val="auto"/>
          <w:szCs w:val="21"/>
          <w:highlight w:val="none"/>
        </w:rPr>
        <w:t>投标</w:t>
      </w:r>
      <w:r>
        <w:rPr>
          <w:rFonts w:hint="eastAsia" w:ascii="宋体" w:hAnsi="宋体"/>
          <w:color w:val="auto"/>
          <w:szCs w:val="21"/>
          <w:highlight w:val="none"/>
        </w:rPr>
        <w:t>供应商满足</w:t>
      </w:r>
      <w:r>
        <w:rPr>
          <w:rFonts w:ascii="宋体" w:hAnsi="宋体"/>
          <w:color w:val="auto"/>
          <w:szCs w:val="21"/>
          <w:highlight w:val="none"/>
        </w:rPr>
        <w:t>法定数量</w:t>
      </w:r>
      <w:r>
        <w:rPr>
          <w:rFonts w:hint="eastAsia" w:ascii="宋体" w:hAnsi="宋体"/>
          <w:color w:val="auto"/>
          <w:szCs w:val="21"/>
          <w:highlight w:val="none"/>
        </w:rPr>
        <w:t>，可按</w:t>
      </w:r>
      <w:r>
        <w:rPr>
          <w:rFonts w:ascii="宋体" w:hAnsi="宋体"/>
          <w:color w:val="auto"/>
          <w:szCs w:val="21"/>
          <w:highlight w:val="none"/>
        </w:rPr>
        <w:t>相关规定</w:t>
      </w:r>
      <w:r>
        <w:rPr>
          <w:rFonts w:hint="eastAsia" w:ascii="宋体" w:hAnsi="宋体"/>
          <w:color w:val="auto"/>
          <w:szCs w:val="21"/>
          <w:highlight w:val="none"/>
        </w:rPr>
        <w:t>在</w:t>
      </w:r>
      <w:r>
        <w:rPr>
          <w:rFonts w:ascii="宋体" w:hAnsi="宋体"/>
          <w:color w:val="auto"/>
          <w:szCs w:val="21"/>
          <w:highlight w:val="none"/>
        </w:rPr>
        <w:t>其他</w:t>
      </w:r>
      <w:r>
        <w:rPr>
          <w:rFonts w:hint="eastAsia" w:ascii="宋体" w:hAnsi="宋体"/>
          <w:color w:val="auto"/>
          <w:szCs w:val="21"/>
          <w:highlight w:val="none"/>
        </w:rPr>
        <w:t>候选</w:t>
      </w:r>
      <w:r>
        <w:rPr>
          <w:rFonts w:ascii="宋体" w:hAnsi="宋体"/>
          <w:color w:val="auto"/>
          <w:szCs w:val="21"/>
          <w:highlight w:val="none"/>
        </w:rPr>
        <w:t>中标</w:t>
      </w:r>
      <w:r>
        <w:rPr>
          <w:rFonts w:hint="eastAsia" w:ascii="宋体" w:hAnsi="宋体"/>
          <w:color w:val="auto"/>
          <w:szCs w:val="21"/>
          <w:highlight w:val="none"/>
        </w:rPr>
        <w:t>供应商中另行</w:t>
      </w:r>
      <w:r>
        <w:rPr>
          <w:rFonts w:ascii="宋体" w:hAnsi="宋体"/>
          <w:color w:val="auto"/>
          <w:szCs w:val="21"/>
          <w:highlight w:val="none"/>
        </w:rPr>
        <w:t>确定中标</w:t>
      </w:r>
      <w:r>
        <w:rPr>
          <w:rFonts w:hint="eastAsia" w:ascii="宋体" w:hAnsi="宋体"/>
          <w:color w:val="auto"/>
          <w:szCs w:val="21"/>
          <w:highlight w:val="none"/>
        </w:rPr>
        <w:t>单位</w:t>
      </w:r>
      <w:r>
        <w:rPr>
          <w:rFonts w:ascii="宋体" w:hAnsi="宋体"/>
          <w:color w:val="auto"/>
          <w:szCs w:val="21"/>
          <w:highlight w:val="none"/>
        </w:rPr>
        <w:t>，或者</w:t>
      </w:r>
      <w:r>
        <w:rPr>
          <w:rFonts w:hint="eastAsia" w:ascii="宋体" w:hAnsi="宋体"/>
          <w:color w:val="auto"/>
          <w:szCs w:val="21"/>
          <w:highlight w:val="none"/>
        </w:rPr>
        <w:t>重新组织招标；（2）候选中标供应商因质疑、投诉等问题被取消候选中标资格，如有效</w:t>
      </w:r>
      <w:r>
        <w:rPr>
          <w:rFonts w:ascii="宋体" w:hAnsi="宋体"/>
          <w:color w:val="auto"/>
          <w:szCs w:val="21"/>
          <w:highlight w:val="none"/>
        </w:rPr>
        <w:t>投标</w:t>
      </w:r>
      <w:r>
        <w:rPr>
          <w:rFonts w:hint="eastAsia" w:ascii="宋体" w:hAnsi="宋体"/>
          <w:color w:val="auto"/>
          <w:szCs w:val="21"/>
          <w:highlight w:val="none"/>
        </w:rPr>
        <w:t>供应商满足</w:t>
      </w:r>
      <w:r>
        <w:rPr>
          <w:rFonts w:ascii="宋体" w:hAnsi="宋体"/>
          <w:color w:val="auto"/>
          <w:szCs w:val="21"/>
          <w:highlight w:val="none"/>
        </w:rPr>
        <w:t>法定数量</w:t>
      </w:r>
      <w:r>
        <w:rPr>
          <w:rFonts w:hint="eastAsia" w:ascii="宋体" w:hAnsi="宋体"/>
          <w:color w:val="auto"/>
          <w:szCs w:val="21"/>
          <w:highlight w:val="none"/>
        </w:rPr>
        <w:t>，则维持原中标结果；如有效</w:t>
      </w:r>
      <w:r>
        <w:rPr>
          <w:rFonts w:ascii="宋体" w:hAnsi="宋体"/>
          <w:color w:val="auto"/>
          <w:szCs w:val="21"/>
          <w:highlight w:val="none"/>
        </w:rPr>
        <w:t>投标</w:t>
      </w:r>
      <w:r>
        <w:rPr>
          <w:rFonts w:hint="eastAsia" w:ascii="宋体" w:hAnsi="宋体"/>
          <w:color w:val="auto"/>
          <w:szCs w:val="21"/>
          <w:highlight w:val="none"/>
        </w:rPr>
        <w:t>供应商不足</w:t>
      </w:r>
      <w:r>
        <w:rPr>
          <w:rFonts w:ascii="宋体" w:hAnsi="宋体"/>
          <w:color w:val="auto"/>
          <w:szCs w:val="21"/>
          <w:highlight w:val="none"/>
        </w:rPr>
        <w:t>法定数量</w:t>
      </w:r>
      <w:r>
        <w:rPr>
          <w:rFonts w:hint="eastAsia" w:ascii="宋体" w:hAnsi="宋体"/>
          <w:color w:val="auto"/>
          <w:szCs w:val="21"/>
          <w:highlight w:val="none"/>
        </w:rPr>
        <w:t>，则该项目作废标处理，重新组织招标。</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E3E43"/>
    <w:rsid w:val="57AE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仿宋_GB2312" w:cs="Times New Roman"/>
      <w:spacing w:val="10"/>
      <w:sz w:val="32"/>
    </w:rPr>
  </w:style>
  <w:style w:type="table" w:styleId="4">
    <w:name w:val="Table Grid"/>
    <w:basedOn w:val="3"/>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2023-07-12T07:42:00Z</dcterms:created>
  <dc:creator>王文乐</dc:creator>
  <cp:lastModifiedBy>王文乐</cp:lastModifiedBy>
  <dcterms:modified xsi:type="dcterms:W3CDTF">2023-07-12T07:43:08Z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FECD584AEBF9485EAB4583F006B80D80</vt:lpwstr>
  </property>
</Properties>
</file>