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widowControl/>
        <w:spacing w:beforeAutospacing="1" w:afterAutospacing="1"/>
        <w:jc w:val="center"/>
        <w:outlineLvl w:val="1"/>
        <w:rPr>
          <w:rFonts w:ascii="黑体" w:eastAsia="黑体" w:hAnsi="宋体" w:cs="黑体"/>
          <w:kern w:val="0"/>
          <w:sz w:val="40"/>
          <w:szCs w:val="40"/>
        </w:rPr>
      </w:pPr>
      <w:r>
        <w:rPr>
          <w:rFonts w:hint="eastAsia"/>
          <w:b/>
          <w:bCs/>
          <w:kern w:val="0"/>
          <w:sz w:val="40"/>
          <w:szCs w:val="40"/>
        </w:rPr>
        <w:t>深圳市残疾人联合会深圳市残疾人综合服务大楼物业服务项目</w:t>
      </w:r>
    </w:p>
    <w:tbl>
      <w:tblPr>
        <w:tblStyle w:val="TableNormal"/>
        <w:tblW w:w="7943" w:type="dxa"/>
        <w:jc w:val="center"/>
        <w:tblCellSpacing w:w="0" w:type="dxa"/>
        <w:tblCellMar>
          <w:top w:w="45" w:type="dxa"/>
          <w:left w:w="45" w:type="dxa"/>
          <w:bottom w:w="45" w:type="dxa"/>
          <w:right w:w="45" w:type="dxa"/>
        </w:tblCellMar>
      </w:tblPr>
      <w:tblGrid>
        <w:gridCol w:w="2723"/>
        <w:gridCol w:w="5220"/>
      </w:tblGrid>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SZCG2023000185</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深圳市残疾人联合会深圳市残疾人综合服务大楼物业服务项目</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ascii="宋体" w:hAnsi="宋体" w:cs="宋体" w:hint="eastAsia"/>
                <w:kern w:val="0"/>
                <w:sz w:val="30"/>
                <w:szCs w:val="30"/>
              </w:rPr>
              <w:t>服务</w:t>
            </w:r>
            <w:r>
              <w:rPr>
                <w:rFonts w:ascii="宋体" w:hAnsi="宋体" w:cs="宋体"/>
                <w:kern w:val="0"/>
                <w:sz w:val="30"/>
                <w:szCs w:val="30"/>
              </w:rPr>
              <w:t>类</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NormalWeb"/>
        <w:jc w:val="center"/>
        <w:outlineLvl w:val="1"/>
        <w:rPr>
          <w:rFonts w:ascii="黑体" w:eastAsia="黑体" w:hAnsi="黑体"/>
          <w:sz w:val="40"/>
          <w:szCs w:val="40"/>
        </w:rPr>
      </w:pPr>
      <w:r>
        <w:rPr>
          <w:rFonts w:ascii="黑体" w:eastAsia="黑体" w:hAnsi="黑体" w:hint="eastAsia"/>
          <w:sz w:val="40"/>
          <w:szCs w:val="40"/>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不得将一个包内容拆开投标；</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投标文件电子文档不得带病毒；</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法律、法规、规章、规范性文件规定的其他情形。</w:t>
            </w:r>
          </w:p>
        </w:tc>
      </w:tr>
    </w:tbl>
    <w:p>
      <w:pPr>
        <w:pStyle w:val="NormalWeb"/>
        <w:jc w:val="center"/>
        <w:outlineLvl w:val="1"/>
        <w:rPr>
          <w:rFonts w:ascii="黑体" w:eastAsia="黑体" w:hAnsi="黑体"/>
          <w:sz w:val="40"/>
          <w:szCs w:val="40"/>
        </w:rPr>
      </w:pPr>
      <w:r>
        <w:rPr>
          <w:rFonts w:ascii="黑体" w:eastAsia="黑体" w:hAnsi="黑体" w:hint="eastAsia"/>
          <w:sz w:val="40"/>
          <w:szCs w:val="40"/>
        </w:rPr>
        <w:t>评标信息</w:t>
      </w:r>
    </w:p>
    <w:tbl>
      <w:tblPr>
        <w:tblStyle w:val="TableNormal"/>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Pr>
      <w:tblGrid>
        <w:gridCol w:w="9072"/>
      </w:tblGrid>
      <w:tr>
        <w:tblPrEx>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PrEx>
        <w:trPr>
          <w:tblCellSpacing w:w="0" w:type="dxa"/>
          <w:jc w:val="center"/>
        </w:trPr>
        <w:tc>
          <w:tcPr>
            <w:tcW w:w="9072" w:type="dxa"/>
            <w:vAlign w:val="center"/>
          </w:tcPr>
          <w:p>
            <w:pPr>
              <w:jc w:val="left"/>
              <w:rPr>
                <w:rFonts w:ascii="宋体" w:hAnsi="宋体" w:cs="宋体"/>
                <w:b/>
                <w:bCs/>
                <w:sz w:val="24"/>
              </w:rPr>
            </w:pPr>
            <w:r>
              <w:rPr>
                <w:b/>
                <w:bCs/>
              </w:rPr>
              <w:t>评标方法：综合评分法</w:t>
            </w:r>
          </w:p>
        </w:tc>
      </w:tr>
      <w:tr>
        <w:tblPrEx>
          <w:tblW w:w="9072" w:type="dxa"/>
          <w:jc w:val="center"/>
          <w:tblCellSpacing w:w="0" w:type="dxa"/>
          <w:tblCellMar>
            <w:top w:w="45" w:type="dxa"/>
            <w:left w:w="45" w:type="dxa"/>
            <w:bottom w:w="45" w:type="dxa"/>
            <w:right w:w="45" w:type="dxa"/>
          </w:tblCellMar>
        </w:tblPrEx>
        <w:trPr>
          <w:tblCellSpacing w:w="0" w:type="dxa"/>
          <w:jc w:val="center"/>
        </w:trPr>
        <w:tc>
          <w:tcPr>
            <w:tcW w:w="9072" w:type="dxa"/>
            <w:vAlign w:val="center"/>
          </w:tcPr>
          <w:p>
            <w:pPr>
              <w:pStyle w:val="NormalWe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w:t>
            </w:r>
            <w:r>
              <w:rPr>
                <w:sz w:val="21"/>
                <w:szCs w:val="21"/>
              </w:rPr>
              <w:t xml:space="preserve">。 </w:t>
            </w:r>
          </w:p>
          <w:p>
            <w:pPr>
              <w:pStyle w:val="NormalWeb"/>
              <w:ind w:firstLine="420"/>
              <w:rPr>
                <w:sz w:val="21"/>
                <w:szCs w:val="21"/>
              </w:rPr>
            </w:pPr>
            <w:r>
              <w:rPr>
                <w:sz w:val="21"/>
                <w:szCs w:val="21"/>
              </w:rPr>
              <w:t>价格分计算方法：</w:t>
            </w:r>
          </w:p>
          <w:p>
            <w:pPr>
              <w:pStyle w:val="NormalWeb"/>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NormalWeb"/>
              <w:spacing w:line="324" w:lineRule="auto"/>
              <w:ind w:left="420"/>
              <w:rPr>
                <w:sz w:val="21"/>
                <w:szCs w:val="21"/>
              </w:rPr>
            </w:pPr>
            <w:r>
              <w:rPr>
                <w:sz w:val="21"/>
                <w:szCs w:val="21"/>
              </w:rPr>
              <w:t xml:space="preserve">投标报价得分=(评标基准价／投标报价)×100 </w:t>
            </w:r>
          </w:p>
          <w:p>
            <w:pPr>
              <w:pStyle w:val="NormalWeb"/>
              <w:spacing w:line="324" w:lineRule="auto"/>
              <w:ind w:left="420"/>
              <w:rPr>
                <w:sz w:val="21"/>
                <w:szCs w:val="21"/>
              </w:rPr>
            </w:pPr>
            <w:r>
              <w:rPr>
                <w:sz w:val="21"/>
                <w:szCs w:val="21"/>
              </w:rPr>
              <w:t xml:space="preserve">评标总得分＝F1×A1＋F2×A2＋……＋Fn×An </w:t>
            </w:r>
          </w:p>
          <w:p>
            <w:pPr>
              <w:pStyle w:val="NormalWeb"/>
              <w:spacing w:line="324" w:lineRule="auto"/>
              <w:ind w:left="420"/>
              <w:rPr>
                <w:sz w:val="21"/>
                <w:szCs w:val="21"/>
              </w:rPr>
            </w:pPr>
            <w:r>
              <w:rPr>
                <w:sz w:val="21"/>
                <w:szCs w:val="21"/>
              </w:rPr>
              <w:t xml:space="preserve">F1、F2……Fn分别为各项评审因素的得分； </w:t>
            </w:r>
          </w:p>
          <w:p>
            <w:pPr>
              <w:pStyle w:val="NormalWeb"/>
              <w:spacing w:line="324" w:lineRule="auto"/>
              <w:ind w:left="420"/>
              <w:rPr>
                <w:sz w:val="21"/>
                <w:szCs w:val="21"/>
              </w:rPr>
            </w:pPr>
            <w:r>
              <w:rPr>
                <w:sz w:val="21"/>
                <w:szCs w:val="21"/>
              </w:rPr>
              <w:t xml:space="preserve">A1、A2、……An 分别为各项评审因素所占的权重(A1＋A2＋……＋An＝1)。 </w:t>
            </w:r>
          </w:p>
          <w:p>
            <w:pPr>
              <w:pStyle w:val="NormalWeb"/>
              <w:spacing w:line="324" w:lineRule="auto"/>
              <w:ind w:left="420"/>
              <w:rPr>
                <w:sz w:val="21"/>
                <w:szCs w:val="21"/>
              </w:rPr>
            </w:pPr>
            <w:r>
              <w:rPr>
                <w:sz w:val="21"/>
                <w:szCs w:val="21"/>
              </w:rPr>
              <w:t>评标过程中，不得去掉报价中的最高报价和最低报价。</w:t>
            </w:r>
          </w:p>
        </w:tc>
      </w:tr>
    </w:tbl>
    <w:p>
      <w:pPr>
        <w:wordWrap w:val="0"/>
        <w:jc w:val="center"/>
        <w:rPr>
          <w:b/>
          <w:bCs/>
        </w:rPr>
      </w:pPr>
    </w:p>
    <w:tbl>
      <w:tblPr>
        <w:tblStyle w:val="TableNormal"/>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08" w:type="dxa"/>
          <w:bottom w:w="20" w:type="dxa"/>
          <w:right w:w="108" w:type="dxa"/>
        </w:tblCellMar>
      </w:tblPr>
      <w:tblGrid>
        <w:gridCol w:w="676"/>
        <w:gridCol w:w="675"/>
        <w:gridCol w:w="1129"/>
        <w:gridCol w:w="891"/>
        <w:gridCol w:w="5701"/>
      </w:tblGrid>
      <w:tr>
        <w:tblPrEx>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pPr>
              <w:wordWrap w:val="0"/>
              <w:jc w:val="center"/>
              <w:rPr>
                <w:rFonts w:ascii="宋体" w:hAnsi="宋体" w:cs="宋体"/>
                <w:b/>
                <w:bCs/>
                <w:sz w:val="24"/>
              </w:rPr>
            </w:pPr>
            <w:r>
              <w:rPr>
                <w:b/>
                <w:bCs/>
              </w:rPr>
              <w:t>序号</w:t>
            </w:r>
          </w:p>
        </w:tc>
        <w:tc>
          <w:tcPr>
            <w:tcW w:w="2695" w:type="dxa"/>
            <w:gridSpan w:val="3"/>
            <w:shd w:val="clear" w:color="auto" w:fill="E6EFFA"/>
            <w:vAlign w:val="center"/>
          </w:tcPr>
          <w:p>
            <w:pPr>
              <w:wordWrap w:val="0"/>
              <w:jc w:val="center"/>
              <w:rPr>
                <w:rFonts w:ascii="宋体" w:hAnsi="宋体" w:cs="宋体"/>
                <w:b/>
                <w:bCs/>
                <w:sz w:val="24"/>
              </w:rPr>
            </w:pPr>
            <w:r>
              <w:rPr>
                <w:b/>
                <w:bCs/>
              </w:rPr>
              <w:t>评分项</w:t>
            </w:r>
          </w:p>
        </w:tc>
        <w:tc>
          <w:tcPr>
            <w:tcW w:w="5701" w:type="dxa"/>
            <w:shd w:val="clear" w:color="auto" w:fill="E6EFFA"/>
            <w:vAlign w:val="center"/>
          </w:tcPr>
          <w:p>
            <w:pPr>
              <w:wordWrap w:val="0"/>
              <w:jc w:val="center"/>
              <w:rPr>
                <w:rFonts w:ascii="宋体" w:hAnsi="宋体" w:cs="宋体"/>
                <w:b/>
                <w:bCs/>
                <w:sz w:val="24"/>
              </w:rPr>
            </w:pPr>
            <w:r>
              <w:rPr>
                <w:b/>
                <w:bCs/>
              </w:rPr>
              <w:t>权重(%)</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rPr>
            </w:pPr>
            <w:r>
              <w:rPr>
                <w:b/>
                <w:bCs/>
                <w:color w:val="0000FF"/>
              </w:rPr>
              <w:t>1</w:t>
            </w:r>
          </w:p>
        </w:tc>
        <w:tc>
          <w:tcPr>
            <w:tcW w:w="2695" w:type="dxa"/>
            <w:gridSpan w:val="3"/>
          </w:tcPr>
          <w:p>
            <w:pPr>
              <w:wordWrap w:val="0"/>
              <w:jc w:val="center"/>
              <w:rPr>
                <w:rFonts w:ascii="宋体" w:hAnsi="宋体" w:cs="宋体"/>
                <w:b/>
                <w:bCs/>
                <w:color w:val="0000FF"/>
                <w:sz w:val="24"/>
              </w:rPr>
            </w:pPr>
            <w:r>
              <w:rPr>
                <w:b/>
                <w:bCs/>
                <w:color w:val="0000FF"/>
              </w:rPr>
              <w:t>价格</w:t>
            </w:r>
          </w:p>
        </w:tc>
        <w:tc>
          <w:tcPr>
            <w:tcW w:w="5701" w:type="dxa"/>
          </w:tcPr>
          <w:p>
            <w:pPr>
              <w:wordWrap w:val="0"/>
              <w:jc w:val="center"/>
              <w:rPr>
                <w:rFonts w:ascii="宋体" w:hAnsi="宋体" w:cs="宋体"/>
                <w:b/>
                <w:bCs/>
                <w:color w:val="0000FF"/>
                <w:sz w:val="24"/>
              </w:rPr>
            </w:pPr>
            <w:r>
              <w:rPr>
                <w:rFonts w:hint="eastAsia"/>
                <w:b/>
                <w:bCs/>
                <w:color w:val="0000FF"/>
              </w:rPr>
              <w:t>1</w:t>
            </w:r>
            <w:r>
              <w:rPr>
                <w:b/>
                <w:bCs/>
                <w:color w:val="0000FF"/>
              </w:rPr>
              <w:t>0</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8396" w:type="dxa"/>
            <w:gridSpan w:val="4"/>
          </w:tcPr>
          <w:p>
            <w:pPr>
              <w:wordWrap w:val="0"/>
              <w:rPr>
                <w:rFonts w:ascii="宋体" w:hAnsi="宋体" w:cs="宋体"/>
                <w:szCs w:val="21"/>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rPr>
            </w:pPr>
            <w:r>
              <w:rPr>
                <w:b/>
                <w:bCs/>
                <w:color w:val="0000FF"/>
              </w:rPr>
              <w:t>2</w:t>
            </w:r>
          </w:p>
        </w:tc>
        <w:tc>
          <w:tcPr>
            <w:tcW w:w="2695"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701" w:type="dxa"/>
          </w:tcPr>
          <w:p>
            <w:pPr>
              <w:wordWrap w:val="0"/>
              <w:jc w:val="center"/>
              <w:rPr>
                <w:rFonts w:ascii="宋体" w:hAnsi="宋体" w:cs="宋体"/>
                <w:b/>
                <w:bCs/>
                <w:color w:val="0000FF"/>
                <w:sz w:val="24"/>
              </w:rPr>
            </w:pPr>
            <w:r>
              <w:rPr>
                <w:rFonts w:hint="eastAsia"/>
                <w:b/>
                <w:bCs/>
                <w:color w:val="0000FF"/>
              </w:rPr>
              <w:t>50</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8396" w:type="dxa"/>
            <w:gridSpan w:val="4"/>
          </w:tcPr>
          <w:p>
            <w:pPr>
              <w:wordWrap w:val="0"/>
              <w:rPr>
                <w:rFonts w:ascii="宋体" w:hAnsi="宋体" w:cs="宋体"/>
                <w:szCs w:val="21"/>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shd w:val="clear" w:color="auto" w:fill="E6EFFA"/>
            <w:vAlign w:val="center"/>
          </w:tcPr>
          <w:p>
            <w:pPr>
              <w:rPr>
                <w:rFonts w:ascii="宋体" w:hAnsi="宋体" w:cs="宋体"/>
                <w:b/>
                <w:bCs/>
                <w:color w:val="0000FF"/>
                <w:sz w:val="24"/>
              </w:rPr>
            </w:pPr>
          </w:p>
        </w:tc>
        <w:tc>
          <w:tcPr>
            <w:tcW w:w="675" w:type="dxa"/>
            <w:shd w:val="clear" w:color="auto" w:fill="E6EFFA"/>
            <w:vAlign w:val="center"/>
          </w:tcPr>
          <w:p>
            <w:pPr>
              <w:wordWrap w:val="0"/>
              <w:jc w:val="center"/>
              <w:rPr>
                <w:rFonts w:ascii="宋体" w:hAnsi="宋体" w:cs="宋体"/>
                <w:szCs w:val="21"/>
              </w:rPr>
            </w:pPr>
            <w:r>
              <w:rPr>
                <w:szCs w:val="21"/>
              </w:rPr>
              <w:t>序号</w:t>
            </w:r>
          </w:p>
        </w:tc>
        <w:tc>
          <w:tcPr>
            <w:tcW w:w="1129" w:type="dxa"/>
            <w:shd w:val="clear" w:color="auto" w:fill="E6EFFA"/>
            <w:vAlign w:val="center"/>
          </w:tcPr>
          <w:p>
            <w:pPr>
              <w:wordWrap w:val="0"/>
              <w:jc w:val="center"/>
              <w:rPr>
                <w:rFonts w:ascii="宋体" w:hAnsi="宋体" w:cs="宋体"/>
                <w:szCs w:val="21"/>
              </w:rPr>
            </w:pPr>
            <w:r>
              <w:rPr>
                <w:rFonts w:hint="eastAsia"/>
                <w:szCs w:val="21"/>
              </w:rPr>
              <w:t>评审因素</w:t>
            </w:r>
          </w:p>
        </w:tc>
        <w:tc>
          <w:tcPr>
            <w:tcW w:w="891" w:type="dxa"/>
            <w:shd w:val="clear" w:color="auto" w:fill="E6EFFA"/>
            <w:vAlign w:val="center"/>
          </w:tcPr>
          <w:p>
            <w:pPr>
              <w:wordWrap w:val="0"/>
              <w:jc w:val="center"/>
              <w:rPr>
                <w:rFonts w:ascii="宋体" w:hAnsi="宋体" w:cs="宋体"/>
                <w:szCs w:val="21"/>
              </w:rPr>
            </w:pPr>
            <w:r>
              <w:rPr>
                <w:szCs w:val="21"/>
              </w:rPr>
              <w:t>权重(%)</w:t>
            </w:r>
          </w:p>
        </w:tc>
        <w:tc>
          <w:tcPr>
            <w:tcW w:w="5701" w:type="dxa"/>
            <w:shd w:val="clear" w:color="auto" w:fill="E6EFFA"/>
            <w:vAlign w:val="center"/>
          </w:tcPr>
          <w:p>
            <w:pPr>
              <w:wordWrap w:val="0"/>
              <w:jc w:val="center"/>
              <w:rPr>
                <w:rFonts w:ascii="宋体" w:hAnsi="宋体" w:cs="宋体"/>
                <w:szCs w:val="21"/>
              </w:rPr>
            </w:pPr>
            <w:r>
              <w:rPr>
                <w:szCs w:val="21"/>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1</w:t>
            </w:r>
          </w:p>
        </w:tc>
        <w:tc>
          <w:tcPr>
            <w:tcW w:w="1129" w:type="dxa"/>
            <w:vAlign w:val="center"/>
          </w:tcPr>
          <w:p>
            <w:pPr>
              <w:wordWrap w:val="0"/>
              <w:jc w:val="center"/>
              <w:rPr>
                <w:rFonts w:ascii="宋体" w:hAnsi="宋体" w:cs="宋体"/>
                <w:szCs w:val="21"/>
              </w:rPr>
            </w:pPr>
            <w:r>
              <w:rPr>
                <w:rFonts w:ascii="宋体" w:hAnsi="宋体" w:hint="eastAsia"/>
                <w:szCs w:val="21"/>
              </w:rPr>
              <w:t>实施方案</w:t>
            </w:r>
          </w:p>
        </w:tc>
        <w:tc>
          <w:tcPr>
            <w:tcW w:w="891" w:type="dxa"/>
            <w:vAlign w:val="center"/>
          </w:tcPr>
          <w:p>
            <w:pPr>
              <w:wordWrap w:val="0"/>
              <w:jc w:val="center"/>
              <w:rPr>
                <w:rFonts w:ascii="宋体" w:hAnsi="宋体" w:cs="宋体"/>
                <w:szCs w:val="21"/>
              </w:rPr>
            </w:pPr>
            <w:r>
              <w:rPr>
                <w:rFonts w:ascii="宋体" w:hAnsi="宋体" w:hint="eastAsia"/>
                <w:szCs w:val="21"/>
              </w:rPr>
              <w:t>1</w:t>
            </w:r>
            <w:r>
              <w:rPr>
                <w:rFonts w:ascii="宋体" w:hAnsi="宋体"/>
                <w:szCs w:val="21"/>
              </w:rPr>
              <w:t>0</w:t>
            </w:r>
          </w:p>
        </w:tc>
        <w:tc>
          <w:tcPr>
            <w:tcW w:w="5701" w:type="dxa"/>
          </w:tcPr>
          <w:p>
            <w:pPr>
              <w:spacing w:after="160"/>
              <w:rPr>
                <w:rFonts w:ascii="宋体" w:hAnsi="宋体"/>
                <w:szCs w:val="21"/>
              </w:rPr>
            </w:pPr>
            <w:r>
              <w:rPr>
                <w:rFonts w:ascii="宋体" w:hAnsi="宋体" w:hint="eastAsia"/>
                <w:szCs w:val="21"/>
              </w:rPr>
              <w:t>（一）评审内容：符合本项目需求的物业服务实施方案，包括：</w:t>
            </w:r>
          </w:p>
          <w:p>
            <w:pPr>
              <w:spacing w:after="160"/>
              <w:rPr>
                <w:rFonts w:ascii="宋体" w:hAnsi="宋体"/>
                <w:szCs w:val="21"/>
              </w:rPr>
            </w:pPr>
            <w:r>
              <w:rPr>
                <w:rFonts w:ascii="宋体" w:hAnsi="宋体" w:hint="eastAsia"/>
                <w:szCs w:val="21"/>
              </w:rPr>
              <w:t>1、整体管理设想；</w:t>
            </w:r>
          </w:p>
          <w:p>
            <w:pPr>
              <w:spacing w:after="160"/>
              <w:rPr>
                <w:rFonts w:ascii="宋体" w:hAnsi="宋体"/>
                <w:szCs w:val="21"/>
              </w:rPr>
            </w:pPr>
            <w:r>
              <w:rPr>
                <w:rFonts w:ascii="宋体" w:hAnsi="宋体" w:hint="eastAsia"/>
                <w:szCs w:val="21"/>
              </w:rPr>
              <w:t>2、整体管理服务理念和策划；</w:t>
            </w:r>
          </w:p>
          <w:p>
            <w:pPr>
              <w:spacing w:after="160"/>
              <w:rPr>
                <w:rFonts w:ascii="宋体" w:hAnsi="宋体"/>
                <w:szCs w:val="21"/>
              </w:rPr>
            </w:pPr>
            <w:r>
              <w:rPr>
                <w:rFonts w:ascii="宋体" w:hAnsi="宋体" w:hint="eastAsia"/>
                <w:szCs w:val="21"/>
              </w:rPr>
              <w:t>3、整体管理措施；</w:t>
            </w:r>
          </w:p>
          <w:p>
            <w:pPr>
              <w:spacing w:after="160"/>
              <w:rPr>
                <w:rFonts w:ascii="宋体" w:hAnsi="宋体"/>
                <w:szCs w:val="21"/>
              </w:rPr>
            </w:pPr>
            <w:r>
              <w:rPr>
                <w:rFonts w:ascii="宋体" w:hAnsi="宋体" w:hint="eastAsia"/>
                <w:szCs w:val="21"/>
              </w:rPr>
              <w:t>4、人员培训；</w:t>
            </w:r>
          </w:p>
          <w:p>
            <w:pPr>
              <w:spacing w:after="160"/>
              <w:rPr>
                <w:rFonts w:ascii="宋体" w:hAnsi="宋体"/>
                <w:szCs w:val="21"/>
              </w:rPr>
            </w:pPr>
            <w:r>
              <w:rPr>
                <w:rFonts w:ascii="宋体" w:hAnsi="宋体" w:hint="eastAsia"/>
                <w:szCs w:val="21"/>
              </w:rPr>
              <w:t>5、机电设备设施管理和维护；</w:t>
            </w:r>
          </w:p>
          <w:p>
            <w:pPr>
              <w:spacing w:after="160"/>
              <w:rPr>
                <w:rFonts w:ascii="宋体" w:hAnsi="宋体"/>
                <w:szCs w:val="21"/>
              </w:rPr>
            </w:pPr>
            <w:r>
              <w:rPr>
                <w:rFonts w:ascii="宋体" w:hAnsi="宋体" w:hint="eastAsia"/>
                <w:szCs w:val="21"/>
              </w:rPr>
              <w:t>6、安保服务管理；</w:t>
            </w:r>
          </w:p>
          <w:p>
            <w:pPr>
              <w:spacing w:after="160"/>
              <w:rPr>
                <w:rFonts w:ascii="宋体" w:hAnsi="宋体"/>
                <w:szCs w:val="21"/>
              </w:rPr>
            </w:pPr>
            <w:r>
              <w:rPr>
                <w:rFonts w:ascii="宋体" w:hAnsi="宋体" w:hint="eastAsia"/>
                <w:szCs w:val="21"/>
              </w:rPr>
              <w:t>7、保洁、消杀服务管理；</w:t>
            </w:r>
          </w:p>
          <w:p>
            <w:pPr>
              <w:spacing w:after="160"/>
              <w:rPr>
                <w:rFonts w:ascii="宋体" w:hAnsi="宋体"/>
                <w:szCs w:val="21"/>
              </w:rPr>
            </w:pPr>
            <w:r>
              <w:rPr>
                <w:rFonts w:ascii="宋体" w:hAnsi="宋体" w:hint="eastAsia"/>
                <w:szCs w:val="21"/>
              </w:rPr>
              <w:t>8、绿化服务管理；</w:t>
            </w:r>
          </w:p>
          <w:p>
            <w:pPr>
              <w:spacing w:after="160"/>
              <w:rPr>
                <w:rFonts w:ascii="宋体" w:hAnsi="宋体"/>
                <w:szCs w:val="21"/>
              </w:rPr>
            </w:pPr>
            <w:r>
              <w:rPr>
                <w:rFonts w:ascii="宋体" w:hAnsi="宋体" w:hint="eastAsia"/>
                <w:szCs w:val="21"/>
              </w:rPr>
              <w:t>9、节能减排措施及管理；</w:t>
            </w:r>
          </w:p>
          <w:p>
            <w:pPr>
              <w:spacing w:after="160"/>
              <w:rPr>
                <w:rFonts w:ascii="宋体" w:hAnsi="宋体" w:cs="宋体"/>
                <w:szCs w:val="21"/>
              </w:rPr>
            </w:pPr>
            <w:r>
              <w:rPr>
                <w:rFonts w:ascii="宋体" w:hAnsi="宋体" w:hint="eastAsia"/>
                <w:szCs w:val="21"/>
              </w:rPr>
              <w:t>10、突发事件及防疫措施管理。</w:t>
            </w:r>
            <w:r>
              <w:rPr>
                <w:rFonts w:ascii="宋体" w:hAnsi="宋体" w:cs="宋体"/>
                <w:szCs w:val="21"/>
              </w:rPr>
              <w:t xml:space="preserve"> </w:t>
            </w:r>
          </w:p>
          <w:p>
            <w:pPr>
              <w:widowControl/>
              <w:spacing w:after="160"/>
              <w:textAlignment w:val="top"/>
              <w:rPr>
                <w:szCs w:val="21"/>
              </w:rPr>
            </w:pPr>
            <w:r>
              <w:rPr>
                <w:rFonts w:ascii="宋体" w:hAnsi="宋体" w:cs="宋体"/>
                <w:kern w:val="0"/>
                <w:szCs w:val="21"/>
              </w:rPr>
              <w:t xml:space="preserve">（二）评分依据： </w:t>
            </w:r>
          </w:p>
          <w:p>
            <w:pPr>
              <w:spacing w:after="160"/>
              <w:rPr>
                <w:rFonts w:ascii="宋体" w:hAnsi="宋体"/>
                <w:szCs w:val="21"/>
              </w:rPr>
            </w:pPr>
            <w:r>
              <w:rPr>
                <w:rFonts w:ascii="宋体" w:hAnsi="宋体" w:hint="eastAsia"/>
                <w:szCs w:val="21"/>
              </w:rPr>
              <w:t>考察以上10项，全部满足得50分，每少提供1项扣</w:t>
            </w:r>
            <w:r>
              <w:rPr>
                <w:rFonts w:ascii="宋体" w:hAnsi="宋体" w:hint="eastAsia"/>
                <w:szCs w:val="21"/>
                <w:lang w:val="en-US" w:eastAsia="zh-CN"/>
              </w:rPr>
              <w:t>5</w:t>
            </w:r>
            <w:r>
              <w:rPr>
                <w:rFonts w:ascii="宋体" w:hAnsi="宋体" w:hint="eastAsia"/>
                <w:szCs w:val="21"/>
              </w:rPr>
              <w:t>分，未满足不得分。</w:t>
            </w:r>
          </w:p>
          <w:p>
            <w:pPr>
              <w:spacing w:after="160"/>
              <w:rPr>
                <w:rFonts w:ascii="宋体" w:hAnsi="宋体"/>
                <w:szCs w:val="21"/>
              </w:rPr>
            </w:pPr>
            <w:r>
              <w:rPr>
                <w:rFonts w:ascii="宋体" w:hAnsi="宋体"/>
                <w:szCs w:val="21"/>
              </w:rPr>
              <w:t>在此基础上，专家根据各供应商的具体响应内容按照量化的评审因素指标进一步评审，根据投标人提供的方案内容是否科学</w:t>
            </w:r>
            <w:r>
              <w:rPr>
                <w:rFonts w:ascii="宋体" w:hAnsi="宋体" w:hint="eastAsia"/>
                <w:szCs w:val="21"/>
              </w:rPr>
              <w:t>、</w:t>
            </w:r>
            <w:r>
              <w:rPr>
                <w:rFonts w:ascii="宋体" w:hAnsi="宋体"/>
                <w:szCs w:val="21"/>
              </w:rPr>
              <w:t>可行</w:t>
            </w:r>
            <w:r>
              <w:rPr>
                <w:rFonts w:ascii="宋体" w:hAnsi="宋体" w:hint="eastAsia"/>
                <w:szCs w:val="21"/>
              </w:rPr>
              <w:t>、</w:t>
            </w:r>
            <w:r>
              <w:rPr>
                <w:rFonts w:ascii="宋体" w:hAnsi="宋体"/>
                <w:szCs w:val="21"/>
              </w:rPr>
              <w:t xml:space="preserve">合理进行打分： </w:t>
            </w:r>
          </w:p>
          <w:p>
            <w:pPr>
              <w:spacing w:after="160"/>
              <w:rPr>
                <w:rFonts w:ascii="宋体" w:hAnsi="宋体"/>
                <w:szCs w:val="21"/>
              </w:rPr>
            </w:pPr>
            <w:r>
              <w:rPr>
                <w:rFonts w:ascii="宋体" w:hAnsi="宋体"/>
                <w:szCs w:val="21"/>
              </w:rPr>
              <w:t>1、评审为优：项目整体设想及策划思路清晰明确，方案合理可行，满足服务要求，针对性强，得</w:t>
            </w:r>
            <w:r>
              <w:rPr>
                <w:rFonts w:ascii="宋体" w:hAnsi="宋体" w:hint="eastAsia"/>
                <w:szCs w:val="21"/>
              </w:rPr>
              <w:t>50</w:t>
            </w:r>
            <w:r>
              <w:rPr>
                <w:rFonts w:ascii="宋体" w:hAnsi="宋体"/>
                <w:szCs w:val="21"/>
              </w:rPr>
              <w:t xml:space="preserve">分； </w:t>
            </w:r>
          </w:p>
          <w:p>
            <w:pPr>
              <w:spacing w:after="160"/>
              <w:rPr>
                <w:rFonts w:ascii="宋体" w:hAnsi="宋体"/>
                <w:szCs w:val="21"/>
              </w:rPr>
            </w:pPr>
            <w:r>
              <w:rPr>
                <w:rFonts w:ascii="宋体" w:hAnsi="宋体"/>
                <w:szCs w:val="21"/>
              </w:rPr>
              <w:t>2、评审为良：项目整体设想及策划总体思路比较清晰，方案比较合理可行，可以满足服务要求，得</w:t>
            </w:r>
            <w:r>
              <w:rPr>
                <w:rFonts w:ascii="宋体" w:hAnsi="宋体" w:hint="eastAsia"/>
                <w:szCs w:val="21"/>
              </w:rPr>
              <w:t>30</w:t>
            </w:r>
            <w:r>
              <w:rPr>
                <w:rFonts w:ascii="宋体" w:hAnsi="宋体"/>
                <w:szCs w:val="21"/>
              </w:rPr>
              <w:t xml:space="preserve">分； </w:t>
            </w:r>
          </w:p>
          <w:p>
            <w:pPr>
              <w:spacing w:after="160"/>
              <w:rPr>
                <w:rFonts w:ascii="宋体" w:hAnsi="宋体"/>
                <w:szCs w:val="21"/>
              </w:rPr>
            </w:pPr>
            <w:r>
              <w:rPr>
                <w:rFonts w:ascii="宋体" w:hAnsi="宋体"/>
                <w:szCs w:val="21"/>
              </w:rPr>
              <w:t xml:space="preserve">3、评审为中：项目整体设想及策划思路基本清晰，方案基本合理可行，基本可以满足服务要求，得10分； </w:t>
            </w:r>
          </w:p>
          <w:p>
            <w:pPr>
              <w:spacing w:after="160"/>
              <w:rPr>
                <w:rFonts w:ascii="宋体" w:hAnsi="宋体"/>
                <w:szCs w:val="21"/>
              </w:rPr>
            </w:pPr>
            <w:r>
              <w:rPr>
                <w:rFonts w:ascii="宋体" w:hAnsi="宋体"/>
                <w:szCs w:val="21"/>
              </w:rPr>
              <w:t xml:space="preserve">4、评审为差：项目整体设想及策划思路不清晰，方案不完整，不能满足服务需要，不得分。 </w:t>
            </w:r>
          </w:p>
          <w:p>
            <w:pPr>
              <w:spacing w:after="160"/>
              <w:rPr>
                <w:rFonts w:ascii="宋体" w:hAnsi="宋体" w:cs="宋体"/>
                <w:szCs w:val="21"/>
              </w:rPr>
            </w:pPr>
            <w:r>
              <w:rPr>
                <w:rFonts w:ascii="宋体" w:hAnsi="宋体"/>
                <w:szCs w:val="21"/>
              </w:rPr>
              <w:t>以上累计得分，最高得1</w:t>
            </w:r>
            <w:r>
              <w:rPr>
                <w:rFonts w:ascii="宋体" w:hAnsi="宋体" w:hint="eastAsia"/>
                <w:szCs w:val="21"/>
              </w:rPr>
              <w:t>00</w:t>
            </w:r>
            <w:r>
              <w:rPr>
                <w:rFonts w:ascii="宋体" w:hAnsi="宋体"/>
                <w:szCs w:val="21"/>
              </w:rPr>
              <w:t>分。如果评审为差，要求专家书面说明理由，并记录在档。</w:t>
            </w:r>
            <w:r>
              <w:rPr>
                <w:rFonts w:ascii="宋体" w:hAnsi="宋体" w:hint="eastAsia"/>
                <w:szCs w:val="21"/>
              </w:rPr>
              <w:t>如果评审为差，要求专家书面说明理由，并记录在档。</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2</w:t>
            </w:r>
          </w:p>
        </w:tc>
        <w:tc>
          <w:tcPr>
            <w:tcW w:w="1129" w:type="dxa"/>
            <w:vAlign w:val="center"/>
          </w:tcPr>
          <w:p>
            <w:pPr>
              <w:wordWrap w:val="0"/>
              <w:jc w:val="center"/>
              <w:rPr>
                <w:rFonts w:ascii="宋体" w:hAnsi="宋体" w:cs="宋体"/>
                <w:szCs w:val="21"/>
              </w:rPr>
            </w:pPr>
            <w:r>
              <w:rPr>
                <w:rFonts w:ascii="宋体" w:hAnsi="宋体" w:hint="eastAsia"/>
                <w:szCs w:val="21"/>
              </w:rPr>
              <w:t>项目重点难点分析、应对措施及相关的合理化建议</w:t>
            </w:r>
          </w:p>
        </w:tc>
        <w:tc>
          <w:tcPr>
            <w:tcW w:w="891" w:type="dxa"/>
            <w:vAlign w:val="center"/>
          </w:tcPr>
          <w:p>
            <w:pPr>
              <w:wordWrap w:val="0"/>
              <w:jc w:val="center"/>
              <w:rPr>
                <w:rFonts w:ascii="宋体" w:hAnsi="宋体" w:cs="宋体"/>
                <w:szCs w:val="21"/>
              </w:rPr>
            </w:pPr>
            <w:r>
              <w:rPr>
                <w:rFonts w:ascii="宋体" w:hAnsi="宋体" w:hint="eastAsia"/>
                <w:szCs w:val="21"/>
              </w:rPr>
              <w:t>10</w:t>
            </w:r>
          </w:p>
        </w:tc>
        <w:tc>
          <w:tcPr>
            <w:tcW w:w="5701" w:type="dxa"/>
            <w:vAlign w:val="center"/>
          </w:tcPr>
          <w:p>
            <w:pPr>
              <w:spacing w:after="160"/>
              <w:rPr>
                <w:rFonts w:ascii="宋体" w:hAnsi="宋体"/>
                <w:szCs w:val="21"/>
              </w:rPr>
            </w:pPr>
            <w:r>
              <w:rPr>
                <w:rFonts w:ascii="宋体" w:hAnsi="宋体" w:hint="eastAsia"/>
                <w:szCs w:val="21"/>
              </w:rPr>
              <w:t xml:space="preserve">(一)评审内容： </w:t>
            </w:r>
          </w:p>
          <w:p>
            <w:pPr>
              <w:spacing w:after="120" w:afterLines="50"/>
              <w:rPr>
                <w:rFonts w:ascii="宋体" w:hAnsi="宋体"/>
                <w:szCs w:val="21"/>
              </w:rPr>
            </w:pPr>
            <w:r>
              <w:rPr>
                <w:rFonts w:ascii="宋体" w:hAnsi="宋体" w:hint="eastAsia"/>
                <w:szCs w:val="21"/>
              </w:rPr>
              <w:t>评审内容：各类别残疾人服务方案，需制定符合本项目需求的残疾人服务方案，内容如下：</w:t>
            </w:r>
          </w:p>
          <w:p>
            <w:pPr>
              <w:spacing w:after="120" w:afterLines="50"/>
              <w:rPr>
                <w:rFonts w:ascii="宋体" w:hAnsi="宋体"/>
                <w:szCs w:val="21"/>
              </w:rPr>
            </w:pPr>
            <w:r>
              <w:rPr>
                <w:rFonts w:ascii="宋体" w:hAnsi="宋体" w:hint="eastAsia"/>
                <w:szCs w:val="21"/>
              </w:rPr>
              <w:t>1.突发紧急事件的应急处理预案，其中具体包含：</w:t>
            </w:r>
          </w:p>
          <w:p>
            <w:pPr>
              <w:spacing w:after="120" w:afterLines="50"/>
              <w:rPr>
                <w:rFonts w:ascii="宋体" w:hAnsi="宋体"/>
                <w:szCs w:val="21"/>
              </w:rPr>
            </w:pPr>
            <w:r>
              <w:rPr>
                <w:rFonts w:ascii="宋体" w:hAnsi="宋体" w:hint="eastAsia"/>
                <w:szCs w:val="21"/>
              </w:rPr>
              <w:t>（1）残疾人信访维稳预案培训机制；</w:t>
            </w:r>
          </w:p>
          <w:p>
            <w:pPr>
              <w:spacing w:after="120" w:afterLines="50"/>
              <w:rPr>
                <w:rFonts w:ascii="宋体" w:hAnsi="宋体"/>
                <w:szCs w:val="21"/>
              </w:rPr>
            </w:pPr>
            <w:r>
              <w:rPr>
                <w:rFonts w:ascii="宋体" w:hAnsi="宋体" w:hint="eastAsia"/>
                <w:szCs w:val="21"/>
              </w:rPr>
              <w:t>（2）残疾人信访维稳响应机制；</w:t>
            </w:r>
          </w:p>
          <w:p>
            <w:pPr>
              <w:spacing w:after="120" w:afterLines="50"/>
              <w:rPr>
                <w:rFonts w:ascii="宋体" w:hAnsi="宋体"/>
                <w:szCs w:val="21"/>
              </w:rPr>
            </w:pPr>
            <w:r>
              <w:rPr>
                <w:rFonts w:ascii="宋体" w:hAnsi="宋体" w:hint="eastAsia"/>
                <w:szCs w:val="21"/>
              </w:rPr>
              <w:t>（3）残疾人信访维稳冲突防范机制；</w:t>
            </w:r>
          </w:p>
          <w:p>
            <w:pPr>
              <w:spacing w:after="120" w:afterLines="50"/>
              <w:rPr>
                <w:rFonts w:ascii="宋体" w:hAnsi="宋体"/>
                <w:szCs w:val="21"/>
              </w:rPr>
            </w:pPr>
            <w:r>
              <w:rPr>
                <w:rFonts w:ascii="宋体" w:hAnsi="宋体" w:hint="eastAsia"/>
                <w:szCs w:val="21"/>
              </w:rPr>
              <w:t>（4）残疾人信访维稳紧急支援机制；</w:t>
            </w:r>
          </w:p>
          <w:p>
            <w:pPr>
              <w:spacing w:after="120" w:afterLines="50"/>
              <w:rPr>
                <w:rFonts w:ascii="宋体" w:hAnsi="宋体"/>
                <w:szCs w:val="21"/>
              </w:rPr>
            </w:pPr>
            <w:r>
              <w:rPr>
                <w:rFonts w:ascii="宋体" w:hAnsi="宋体" w:hint="eastAsia"/>
                <w:szCs w:val="21"/>
              </w:rPr>
              <w:t>（5）远程监控计划及应急协调机制。</w:t>
            </w:r>
          </w:p>
          <w:p>
            <w:pPr>
              <w:spacing w:after="160"/>
              <w:rPr>
                <w:rFonts w:ascii="宋体" w:hAnsi="宋体"/>
                <w:szCs w:val="21"/>
              </w:rPr>
            </w:pPr>
            <w:r>
              <w:rPr>
                <w:rFonts w:ascii="宋体" w:hAnsi="宋体" w:hint="eastAsia"/>
                <w:szCs w:val="21"/>
              </w:rPr>
              <w:t>（二）评分依据：：考察以上5项（满足5项得50分，满足任意4项得40分，满足任意3项得30分，满足任意2项得20分，满足任意1项得10分，未满足不得分。，</w:t>
            </w:r>
          </w:p>
          <w:p>
            <w:pPr>
              <w:spacing w:after="160"/>
              <w:rPr>
                <w:rFonts w:ascii="宋体" w:hAnsi="宋体"/>
                <w:szCs w:val="21"/>
              </w:rPr>
            </w:pPr>
            <w:r>
              <w:rPr>
                <w:rFonts w:ascii="宋体" w:hAnsi="宋体" w:hint="eastAsia"/>
                <w:szCs w:val="21"/>
              </w:rPr>
              <w:t xml:space="preserve">在此基础上，专家根据各供应商的具体响应内容按照量化的评审因素指标进一步评审，根据投标人提供的方案内容是否科学，可行，合理进行打分： </w:t>
            </w:r>
          </w:p>
          <w:p>
            <w:pPr>
              <w:spacing w:after="160"/>
              <w:rPr>
                <w:rFonts w:ascii="宋体" w:hAnsi="宋体"/>
                <w:szCs w:val="21"/>
              </w:rPr>
            </w:pPr>
            <w:r>
              <w:rPr>
                <w:rFonts w:ascii="宋体" w:hAnsi="宋体" w:hint="eastAsia"/>
                <w:szCs w:val="21"/>
              </w:rPr>
              <w:t xml:space="preserve">1、评审为优：项目重点、难点分析明确，提出的应对措施合理，满足服务要求，针对性强，得50分； </w:t>
            </w:r>
          </w:p>
          <w:p>
            <w:pPr>
              <w:spacing w:after="160"/>
              <w:rPr>
                <w:rFonts w:ascii="宋体" w:hAnsi="宋体"/>
                <w:szCs w:val="21"/>
              </w:rPr>
            </w:pPr>
            <w:r>
              <w:rPr>
                <w:rFonts w:ascii="宋体" w:hAnsi="宋体" w:hint="eastAsia"/>
                <w:szCs w:val="21"/>
              </w:rPr>
              <w:t xml:space="preserve">2、评审为良：项目重点、难点分析比较清晰，方案比较合理可行，可以满足服务要求，得30分； </w:t>
            </w:r>
          </w:p>
          <w:p>
            <w:pPr>
              <w:spacing w:after="160"/>
              <w:rPr>
                <w:rFonts w:ascii="宋体" w:hAnsi="宋体"/>
                <w:szCs w:val="21"/>
              </w:rPr>
            </w:pPr>
            <w:r>
              <w:rPr>
                <w:rFonts w:ascii="宋体" w:hAnsi="宋体" w:hint="eastAsia"/>
                <w:szCs w:val="21"/>
              </w:rPr>
              <w:t xml:space="preserve">3、评审为中：项目重点、难点分析基本清晰，方案基本合理可行，基本可以满足服务要求，得10分； </w:t>
            </w:r>
          </w:p>
          <w:p>
            <w:pPr>
              <w:spacing w:after="160"/>
              <w:rPr>
                <w:rFonts w:ascii="宋体" w:hAnsi="宋体"/>
                <w:szCs w:val="21"/>
              </w:rPr>
            </w:pPr>
            <w:r>
              <w:rPr>
                <w:rFonts w:ascii="宋体" w:hAnsi="宋体" w:hint="eastAsia"/>
                <w:szCs w:val="21"/>
              </w:rPr>
              <w:t xml:space="preserve">4、评审为差：项目重点、难点分析思路不清晰，方案不完整，不能满足服务需要，不得分。 </w:t>
            </w:r>
          </w:p>
          <w:p>
            <w:pPr>
              <w:spacing w:after="160"/>
              <w:rPr>
                <w:rFonts w:ascii="宋体" w:hAnsi="宋体" w:cs="宋体"/>
                <w:szCs w:val="21"/>
              </w:rPr>
            </w:pPr>
            <w:r>
              <w:rPr>
                <w:rFonts w:ascii="宋体" w:hAnsi="宋体" w:hint="eastAsia"/>
                <w:szCs w:val="21"/>
              </w:rPr>
              <w:t>以上累计得分，最高得100分。如果评审为差，要求专家书面说明理由，并记录在档。如果评审为差，要求专家书面说明理由，并记录在档。</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3</w:t>
            </w:r>
          </w:p>
        </w:tc>
        <w:tc>
          <w:tcPr>
            <w:tcW w:w="1129" w:type="dxa"/>
            <w:vAlign w:val="center"/>
          </w:tcPr>
          <w:p>
            <w:pPr>
              <w:wordWrap w:val="0"/>
              <w:jc w:val="center"/>
              <w:rPr>
                <w:rFonts w:ascii="宋体" w:hAnsi="宋体" w:cs="宋体"/>
                <w:szCs w:val="21"/>
              </w:rPr>
            </w:pPr>
            <w:r>
              <w:rPr>
                <w:rFonts w:ascii="宋体" w:hAnsi="宋体" w:hint="eastAsia"/>
                <w:szCs w:val="21"/>
              </w:rPr>
              <w:t>质量（完成时间、安全、环保）保障措施及方案</w:t>
            </w:r>
          </w:p>
        </w:tc>
        <w:tc>
          <w:tcPr>
            <w:tcW w:w="891" w:type="dxa"/>
            <w:vAlign w:val="center"/>
          </w:tcPr>
          <w:p>
            <w:pPr>
              <w:wordWrap w:val="0"/>
              <w:jc w:val="center"/>
              <w:rPr>
                <w:rFonts w:ascii="宋体" w:hAnsi="宋体" w:cs="宋体"/>
                <w:szCs w:val="21"/>
              </w:rPr>
            </w:pPr>
            <w:r>
              <w:rPr>
                <w:rFonts w:ascii="宋体" w:hAnsi="宋体" w:hint="eastAsia"/>
                <w:szCs w:val="21"/>
              </w:rPr>
              <w:t>5</w:t>
            </w:r>
          </w:p>
        </w:tc>
        <w:tc>
          <w:tcPr>
            <w:tcW w:w="5701" w:type="dxa"/>
            <w:vAlign w:val="center"/>
          </w:tcPr>
          <w:p>
            <w:pPr>
              <w:spacing w:after="160"/>
              <w:rPr>
                <w:rFonts w:ascii="宋体" w:hAnsi="宋体"/>
                <w:szCs w:val="21"/>
              </w:rPr>
            </w:pPr>
            <w:r>
              <w:rPr>
                <w:rFonts w:ascii="宋体" w:hAnsi="宋体" w:hint="eastAsia"/>
                <w:szCs w:val="21"/>
              </w:rPr>
              <w:t>（一）评审内容：</w:t>
            </w:r>
          </w:p>
          <w:p>
            <w:pPr>
              <w:spacing w:after="160"/>
              <w:rPr>
                <w:rFonts w:ascii="宋体" w:hAnsi="宋体"/>
                <w:szCs w:val="21"/>
              </w:rPr>
            </w:pPr>
            <w:r>
              <w:rPr>
                <w:rFonts w:ascii="宋体" w:hAnsi="宋体" w:hint="eastAsia"/>
                <w:szCs w:val="21"/>
              </w:rPr>
              <w:t xml:space="preserve">提供针对本项目的保障措施及服务流程整体相关应急方案： </w:t>
            </w:r>
          </w:p>
          <w:p>
            <w:pPr>
              <w:spacing w:after="160"/>
              <w:rPr>
                <w:rFonts w:ascii="宋体" w:hAnsi="宋体"/>
                <w:szCs w:val="21"/>
              </w:rPr>
            </w:pPr>
            <w:r>
              <w:rPr>
                <w:rFonts w:ascii="宋体" w:hAnsi="宋体" w:hint="eastAsia"/>
                <w:szCs w:val="21"/>
              </w:rPr>
              <w:t>1、质量保障措施；</w:t>
            </w:r>
          </w:p>
          <w:p>
            <w:pPr>
              <w:spacing w:after="160"/>
              <w:rPr>
                <w:rFonts w:ascii="宋体" w:hAnsi="宋体"/>
                <w:szCs w:val="21"/>
              </w:rPr>
            </w:pPr>
            <w:r>
              <w:rPr>
                <w:rFonts w:ascii="宋体" w:hAnsi="宋体" w:hint="eastAsia"/>
                <w:szCs w:val="21"/>
              </w:rPr>
              <w:t xml:space="preserve">2、规章制度、档案管理； </w:t>
            </w:r>
          </w:p>
          <w:p>
            <w:pPr>
              <w:spacing w:after="160"/>
              <w:rPr>
                <w:rFonts w:ascii="宋体" w:hAnsi="宋体"/>
                <w:szCs w:val="21"/>
              </w:rPr>
            </w:pPr>
            <w:r>
              <w:rPr>
                <w:rFonts w:ascii="宋体" w:hAnsi="宋体" w:hint="eastAsia"/>
                <w:szCs w:val="21"/>
              </w:rPr>
              <w:t>3、应急预案，至少包括：重要会议活动、反恐、消防、电梯困人、突发停电、突发停水、打架斗殴、特殊天气、疫情防控等9项方案；</w:t>
            </w:r>
          </w:p>
          <w:p>
            <w:pPr>
              <w:spacing w:after="160"/>
              <w:rPr>
                <w:rFonts w:ascii="宋体" w:hAnsi="宋体"/>
                <w:szCs w:val="21"/>
              </w:rPr>
            </w:pPr>
            <w:r>
              <w:rPr>
                <w:rFonts w:ascii="宋体" w:hAnsi="宋体" w:hint="eastAsia"/>
                <w:szCs w:val="21"/>
              </w:rPr>
              <w:t>4、节能减排、垃圾分类具体保障措施。</w:t>
            </w:r>
          </w:p>
          <w:p>
            <w:pPr>
              <w:spacing w:after="160"/>
              <w:rPr>
                <w:rFonts w:ascii="宋体" w:hAnsi="宋体"/>
                <w:szCs w:val="21"/>
              </w:rPr>
            </w:pPr>
            <w:r>
              <w:rPr>
                <w:rFonts w:ascii="宋体" w:hAnsi="宋体" w:hint="eastAsia"/>
                <w:szCs w:val="21"/>
              </w:rPr>
              <w:t xml:space="preserve">（二）评分依据： </w:t>
            </w:r>
          </w:p>
          <w:p>
            <w:pPr>
              <w:spacing w:after="160"/>
              <w:rPr>
                <w:rFonts w:ascii="宋体" w:hAnsi="宋体"/>
                <w:szCs w:val="21"/>
              </w:rPr>
            </w:pPr>
            <w:r>
              <w:rPr>
                <w:rFonts w:ascii="宋体" w:hAnsi="宋体" w:hint="eastAsia"/>
                <w:szCs w:val="21"/>
              </w:rPr>
              <w:t>满足4项得60分，满足任意3项得45分，满足任意2项得30分，满足任意1项得15分，未满足不得分。</w:t>
            </w:r>
          </w:p>
          <w:p>
            <w:pPr>
              <w:spacing w:after="160"/>
              <w:rPr>
                <w:rFonts w:ascii="宋体" w:hAnsi="宋体"/>
                <w:szCs w:val="21"/>
              </w:rPr>
            </w:pPr>
            <w:r>
              <w:rPr>
                <w:rFonts w:ascii="宋体" w:hAnsi="宋体" w:hint="eastAsia"/>
                <w:szCs w:val="21"/>
              </w:rPr>
              <w:t>在此基础上，专家根据各供应商的具体响应内容按照量化的评审因素、指标进一步评审，根据投标人提供的方案内容是否科学，可行，合理进行打分：</w:t>
            </w:r>
          </w:p>
          <w:p>
            <w:pPr>
              <w:spacing w:after="160"/>
              <w:rPr>
                <w:rFonts w:ascii="宋体" w:hAnsi="宋体"/>
                <w:szCs w:val="21"/>
              </w:rPr>
            </w:pPr>
            <w:r>
              <w:rPr>
                <w:rFonts w:ascii="宋体" w:hAnsi="宋体" w:hint="eastAsia"/>
                <w:szCs w:val="21"/>
              </w:rPr>
              <w:t>1、评审为优：保障措施全面具体，应急方案针对性强，得40分；</w:t>
            </w:r>
          </w:p>
          <w:p>
            <w:pPr>
              <w:spacing w:after="160"/>
              <w:rPr>
                <w:rFonts w:ascii="宋体" w:hAnsi="宋体"/>
                <w:szCs w:val="21"/>
              </w:rPr>
            </w:pPr>
            <w:r>
              <w:rPr>
                <w:rFonts w:ascii="宋体" w:hAnsi="宋体" w:hint="eastAsia"/>
                <w:szCs w:val="21"/>
              </w:rPr>
              <w:t>2、评审为良：保障措施较全面，应急方案针对性较强，得20分；</w:t>
            </w:r>
          </w:p>
          <w:p>
            <w:pPr>
              <w:spacing w:after="160"/>
              <w:rPr>
                <w:rFonts w:ascii="宋体" w:hAnsi="宋体"/>
                <w:szCs w:val="21"/>
              </w:rPr>
            </w:pPr>
            <w:r>
              <w:rPr>
                <w:rFonts w:ascii="宋体" w:hAnsi="宋体" w:hint="eastAsia"/>
                <w:szCs w:val="21"/>
              </w:rPr>
              <w:t>3、评审为中：保障措施一般，应急方案针对性一般，得10分；</w:t>
            </w:r>
          </w:p>
          <w:p>
            <w:pPr>
              <w:spacing w:after="160"/>
              <w:rPr>
                <w:rFonts w:ascii="宋体" w:hAnsi="宋体"/>
                <w:szCs w:val="21"/>
              </w:rPr>
            </w:pPr>
            <w:r>
              <w:rPr>
                <w:rFonts w:ascii="宋体" w:hAnsi="宋体" w:hint="eastAsia"/>
                <w:szCs w:val="21"/>
              </w:rPr>
              <w:t>4、评审为差：保障措施差，应急方案针对性差，不得分。</w:t>
            </w:r>
          </w:p>
          <w:p>
            <w:pPr>
              <w:spacing w:after="160"/>
              <w:rPr>
                <w:rFonts w:ascii="宋体" w:hAnsi="宋体" w:cs="宋体"/>
                <w:szCs w:val="21"/>
              </w:rPr>
            </w:pPr>
            <w:r>
              <w:rPr>
                <w:rFonts w:ascii="宋体" w:hAnsi="宋体" w:hint="eastAsia"/>
                <w:szCs w:val="21"/>
              </w:rPr>
              <w:t>以上累计得分，最高得100分。如果评审为差，要求专家书面说明理由，并记录在档。</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hint="eastAsia"/>
                <w:szCs w:val="21"/>
              </w:rPr>
              <w:t>4</w:t>
            </w:r>
          </w:p>
        </w:tc>
        <w:tc>
          <w:tcPr>
            <w:tcW w:w="1129" w:type="dxa"/>
            <w:vAlign w:val="center"/>
          </w:tcPr>
          <w:p>
            <w:pPr>
              <w:wordWrap w:val="0"/>
              <w:jc w:val="center"/>
              <w:rPr>
                <w:rFonts w:ascii="宋体" w:hAnsi="宋体" w:cs="宋体"/>
                <w:szCs w:val="21"/>
              </w:rPr>
            </w:pPr>
            <w:r>
              <w:rPr>
                <w:rFonts w:ascii="宋体" w:hAnsi="宋体" w:hint="eastAsia"/>
                <w:szCs w:val="21"/>
              </w:rPr>
              <w:t>项目完成（服务期满）后的服务承诺</w:t>
            </w:r>
          </w:p>
        </w:tc>
        <w:tc>
          <w:tcPr>
            <w:tcW w:w="891" w:type="dxa"/>
            <w:vAlign w:val="center"/>
          </w:tcPr>
          <w:p>
            <w:pPr>
              <w:wordWrap w:val="0"/>
              <w:jc w:val="center"/>
              <w:rPr>
                <w:rFonts w:ascii="宋体" w:hAnsi="宋体" w:cs="宋体"/>
                <w:szCs w:val="21"/>
              </w:rPr>
            </w:pPr>
            <w:r>
              <w:rPr>
                <w:rFonts w:ascii="宋体" w:hAnsi="宋体" w:hint="eastAsia"/>
                <w:szCs w:val="21"/>
              </w:rPr>
              <w:t>5</w:t>
            </w:r>
          </w:p>
        </w:tc>
        <w:tc>
          <w:tcPr>
            <w:tcW w:w="5701" w:type="dxa"/>
          </w:tcPr>
          <w:p>
            <w:pPr>
              <w:widowControl/>
              <w:spacing w:after="160"/>
              <w:rPr>
                <w:rFonts w:ascii="宋体" w:hAnsi="宋体"/>
                <w:szCs w:val="21"/>
              </w:rPr>
            </w:pPr>
            <w:r>
              <w:rPr>
                <w:szCs w:val="21"/>
              </w:rPr>
              <w:t>投标人承诺以下全部三项的得100分，否则不得分。</w:t>
            </w:r>
          </w:p>
          <w:p>
            <w:pPr>
              <w:widowControl/>
              <w:spacing w:after="160"/>
              <w:rPr>
                <w:szCs w:val="21"/>
              </w:rPr>
            </w:pPr>
            <w:r>
              <w:rPr>
                <w:rFonts w:hint="eastAsia"/>
                <w:szCs w:val="21"/>
              </w:rPr>
              <w:t>1、</w:t>
            </w:r>
            <w:r>
              <w:rPr>
                <w:szCs w:val="21"/>
              </w:rPr>
              <w:t xml:space="preserve">服务期满后主动离岗； </w:t>
            </w:r>
          </w:p>
          <w:p>
            <w:pPr>
              <w:widowControl/>
              <w:spacing w:after="160"/>
              <w:rPr>
                <w:szCs w:val="21"/>
              </w:rPr>
            </w:pPr>
            <w:r>
              <w:rPr>
                <w:rFonts w:hint="eastAsia"/>
                <w:szCs w:val="21"/>
              </w:rPr>
              <w:t>2、</w:t>
            </w:r>
            <w:r>
              <w:rPr>
                <w:szCs w:val="21"/>
              </w:rPr>
              <w:t xml:space="preserve">与后续服务公司进行交接； </w:t>
            </w:r>
          </w:p>
          <w:p>
            <w:pPr>
              <w:spacing w:after="160"/>
              <w:rPr>
                <w:szCs w:val="21"/>
              </w:rPr>
            </w:pPr>
            <w:r>
              <w:rPr>
                <w:rFonts w:hint="eastAsia"/>
                <w:szCs w:val="21"/>
              </w:rPr>
              <w:t>3、</w:t>
            </w:r>
            <w:r>
              <w:rPr>
                <w:szCs w:val="21"/>
              </w:rPr>
              <w:t>服务期满，后续服务公司未到位前仍按原合同服务承诺提供服务。</w:t>
            </w:r>
          </w:p>
          <w:p>
            <w:pPr>
              <w:spacing w:after="160"/>
              <w:rPr>
                <w:rFonts w:hAnsi="宋体" w:cs="宋体"/>
                <w:szCs w:val="21"/>
              </w:rPr>
            </w:pPr>
            <w:r>
              <w:rPr>
                <w:rFonts w:hAnsi="宋体" w:cs="宋体" w:hint="eastAsia"/>
                <w:szCs w:val="21"/>
              </w:rPr>
              <w:t>要求提供承诺（格式自定）作为得分依据，未提供承诺或承诺内容不满足要求不得分。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hint="eastAsia"/>
                <w:szCs w:val="21"/>
              </w:rPr>
              <w:t>5</w:t>
            </w:r>
          </w:p>
        </w:tc>
        <w:tc>
          <w:tcPr>
            <w:tcW w:w="1129" w:type="dxa"/>
            <w:vAlign w:val="center"/>
          </w:tcPr>
          <w:p>
            <w:pPr>
              <w:wordWrap w:val="0"/>
              <w:jc w:val="center"/>
              <w:rPr>
                <w:rFonts w:ascii="宋体" w:hAnsi="宋体" w:cs="宋体"/>
                <w:szCs w:val="21"/>
              </w:rPr>
            </w:pPr>
            <w:r>
              <w:rPr>
                <w:rFonts w:ascii="宋体" w:hAnsi="宋体" w:hint="eastAsia"/>
                <w:szCs w:val="21"/>
              </w:rPr>
              <w:t>违约承诺</w:t>
            </w:r>
          </w:p>
        </w:tc>
        <w:tc>
          <w:tcPr>
            <w:tcW w:w="891" w:type="dxa"/>
            <w:vAlign w:val="center"/>
          </w:tcPr>
          <w:p>
            <w:pPr>
              <w:wordWrap w:val="0"/>
              <w:jc w:val="center"/>
              <w:rPr>
                <w:rFonts w:ascii="宋体" w:hAnsi="宋体" w:cs="宋体"/>
                <w:szCs w:val="21"/>
              </w:rPr>
            </w:pPr>
            <w:r>
              <w:rPr>
                <w:rFonts w:ascii="宋体" w:hAnsi="宋体" w:hint="eastAsia"/>
                <w:szCs w:val="21"/>
              </w:rPr>
              <w:t>5</w:t>
            </w:r>
          </w:p>
        </w:tc>
        <w:tc>
          <w:tcPr>
            <w:tcW w:w="5701" w:type="dxa"/>
          </w:tcPr>
          <w:p>
            <w:pPr>
              <w:widowControl/>
              <w:spacing w:after="1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投标人承诺以下全部三项的得100分，否则不得分。</w:t>
            </w:r>
          </w:p>
          <w:p>
            <w:pPr>
              <w:widowControl/>
              <w:spacing w:after="1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hint="eastAsia"/>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人员严格按照招标文件及投标承诺配置；</w:t>
            </w:r>
          </w:p>
          <w:p>
            <w:pPr>
              <w:widowControl/>
              <w:spacing w:after="1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hint="eastAsia"/>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服务质量达到招标文件要求；</w:t>
            </w:r>
          </w:p>
          <w:p>
            <w:pPr>
              <w:spacing w:after="16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ascii="宋体" w:hAnsi="宋体" w:hint="eastAsia"/>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对未能达到的管理要求承担管理责任。</w:t>
            </w:r>
          </w:p>
          <w:p>
            <w:pPr>
              <w:spacing w:after="160"/>
              <w:rPr>
                <w:rFonts w:hAnsi="宋体" w:cs="宋体"/>
                <w:szCs w:val="21"/>
              </w:rPr>
            </w:pPr>
            <w:r>
              <w:rPr>
                <w:rFonts w:ascii="宋体" w:hAnsi="宋体" w:hint="eastAsia"/>
                <w:color w:val="000000" w:themeColor="text1"/>
                <w:szCs w:val="21"/>
                <w14:textFill>
                  <w14:solidFill>
                    <w14:schemeClr w14:val="tx1"/>
                  </w14:solidFill>
                </w14:textFill>
              </w:rPr>
              <w:t>要求提供承诺（格式自定）作为得分依据，未提供承诺或承</w:t>
            </w:r>
            <w:r>
              <w:rPr>
                <w:rFonts w:hAnsi="宋体" w:cs="宋体" w:hint="eastAsia"/>
                <w:szCs w:val="21"/>
              </w:rPr>
              <w:t>诺内容不满足要求不得分。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6</w:t>
            </w:r>
          </w:p>
        </w:tc>
        <w:tc>
          <w:tcPr>
            <w:tcW w:w="1129" w:type="dxa"/>
            <w:vAlign w:val="center"/>
          </w:tcPr>
          <w:p>
            <w:pPr>
              <w:wordWrap w:val="0"/>
              <w:jc w:val="center"/>
              <w:rPr>
                <w:rFonts w:ascii="宋体" w:hAnsi="宋体" w:cs="宋体"/>
                <w:szCs w:val="21"/>
              </w:rPr>
            </w:pPr>
            <w:r>
              <w:rPr>
                <w:rFonts w:ascii="宋体" w:hAnsi="宋体" w:hint="eastAsia"/>
                <w:szCs w:val="21"/>
              </w:rPr>
              <w:t>拟安排的项目负责人情况（仅限一人）</w:t>
            </w:r>
          </w:p>
        </w:tc>
        <w:tc>
          <w:tcPr>
            <w:tcW w:w="891" w:type="dxa"/>
            <w:vAlign w:val="center"/>
          </w:tcPr>
          <w:p>
            <w:pPr>
              <w:wordWrap w:val="0"/>
              <w:jc w:val="center"/>
              <w:rPr>
                <w:rFonts w:ascii="宋体" w:hAnsi="宋体" w:cs="宋体"/>
                <w:szCs w:val="21"/>
              </w:rPr>
            </w:pPr>
            <w:r>
              <w:rPr>
                <w:rFonts w:ascii="宋体" w:hAnsi="宋体"/>
                <w:szCs w:val="21"/>
              </w:rPr>
              <w:t>5</w:t>
            </w:r>
          </w:p>
        </w:tc>
        <w:tc>
          <w:tcPr>
            <w:tcW w:w="5701" w:type="dxa"/>
          </w:tcPr>
          <w:p>
            <w:pPr>
              <w:spacing w:after="160"/>
            </w:pPr>
            <w:r>
              <w:rPr>
                <w:rFonts w:hint="eastAsia"/>
              </w:rPr>
              <w:t>（一）评分内容：拟安排项目负责人为投标单位员工（以社保为准），否则本项不得分。</w:t>
            </w:r>
          </w:p>
          <w:p>
            <w:pPr>
              <w:spacing w:after="160"/>
            </w:pPr>
            <w:r>
              <w:rPr>
                <w:rFonts w:hint="eastAsia"/>
              </w:rPr>
              <w:t>1、具有本科或上学历证书的得20分；</w:t>
            </w:r>
          </w:p>
          <w:p>
            <w:pPr>
              <w:spacing w:after="160"/>
            </w:pPr>
            <w:r>
              <w:rPr>
                <w:rFonts w:hint="eastAsia"/>
              </w:rPr>
              <w:t>2</w:t>
            </w:r>
            <w:r>
              <w:t>、</w:t>
            </w:r>
            <w:r>
              <w:rPr>
                <w:rFonts w:hint="eastAsia"/>
              </w:rPr>
              <w:t>具有中国物业管理协会颁发的物业管理员（师）职业能力等级证书得20分；</w:t>
            </w:r>
          </w:p>
          <w:p>
            <w:pPr>
              <w:spacing w:after="160"/>
            </w:pPr>
            <w:r>
              <w:rPr>
                <w:rFonts w:hint="eastAsia"/>
              </w:rPr>
              <w:t>3</w:t>
            </w:r>
            <w:r>
              <w:t>、具有安全生产监督管理部门或应急管理部门颁发的安全生产知识和管理能力考核合格证的</w:t>
            </w:r>
            <w:r>
              <w:rPr>
                <w:rFonts w:hint="eastAsia"/>
              </w:rPr>
              <w:t>，</w:t>
            </w:r>
            <w:r>
              <w:t>得</w:t>
            </w:r>
            <w:r>
              <w:rPr>
                <w:rFonts w:hint="eastAsia"/>
              </w:rPr>
              <w:t>20</w:t>
            </w:r>
            <w:r>
              <w:t xml:space="preserve">分； </w:t>
            </w:r>
          </w:p>
          <w:p>
            <w:pPr>
              <w:spacing w:after="160"/>
            </w:pPr>
            <w:r>
              <w:rPr>
                <w:rFonts w:hint="eastAsia"/>
              </w:rPr>
              <w:t>4</w:t>
            </w:r>
            <w:r>
              <w:t>、具有</w:t>
            </w:r>
            <w:r>
              <w:rPr>
                <w:rFonts w:hint="eastAsia"/>
              </w:rPr>
              <w:t>人社部门</w:t>
            </w:r>
            <w:r>
              <w:t>颁发的中级或以上的建（构）筑物消防员（或消防设施操作员）职业资格证书的得</w:t>
            </w:r>
            <w:r>
              <w:rPr>
                <w:rFonts w:hint="eastAsia"/>
              </w:rPr>
              <w:t>20</w:t>
            </w:r>
            <w:r>
              <w:t>分；</w:t>
            </w:r>
          </w:p>
          <w:p>
            <w:pPr>
              <w:spacing w:after="160"/>
            </w:pPr>
            <w:r>
              <w:rPr>
                <w:rFonts w:hint="eastAsia"/>
              </w:rPr>
              <w:t>5、具有物业管理行业协会颁发的物业管理优秀个人荣誉证书的得20分。</w:t>
            </w:r>
          </w:p>
          <w:p>
            <w:pPr>
              <w:spacing w:after="160"/>
            </w:pPr>
            <w:r>
              <w:rPr>
                <w:rFonts w:hint="eastAsia"/>
              </w:rPr>
              <w:t>以上累积得分，最高得100分。</w:t>
            </w:r>
          </w:p>
          <w:p>
            <w:pPr>
              <w:spacing w:after="160"/>
            </w:pPr>
            <w:r>
              <w:rPr>
                <w:rFonts w:hint="eastAsia"/>
              </w:rPr>
              <w:t>（二）评分依据：</w:t>
            </w:r>
            <w:r>
              <w:t xml:space="preserve"> </w:t>
            </w:r>
          </w:p>
          <w:p>
            <w:pPr>
              <w:spacing w:after="160"/>
            </w:pPr>
            <w:r>
              <w:rPr>
                <w:rFonts w:hint="eastAsia"/>
                <w:lang w:val="en-US" w:eastAsia="zh-CN"/>
              </w:rPr>
              <w:t>1.</w:t>
            </w:r>
            <w:r>
              <w:rPr>
                <w:rFonts w:hint="eastAsia"/>
              </w:rPr>
              <w:t>提供通过投标人缴纳的近三个月的任意一个月的社保证明作为本单位员工的证明依据。另，若供应商成立不足三个月的，需提供说明函（格式自拟），无需提供社保，亦可得分。</w:t>
            </w:r>
          </w:p>
          <w:p>
            <w:pPr>
              <w:spacing w:after="160"/>
            </w:pPr>
            <w:r>
              <w:t>2.</w:t>
            </w:r>
            <w:r>
              <w:rPr>
                <w:rFonts w:hint="eastAsia"/>
              </w:rPr>
              <w:t>要求提供投标人相关证明资料作为得分依据。</w:t>
            </w:r>
          </w:p>
          <w:p>
            <w:pPr>
              <w:spacing w:after="160"/>
            </w:pPr>
            <w:r>
              <w:t>3</w:t>
            </w:r>
            <w:r>
              <w:rPr>
                <w:rFonts w:hint="eastAsia"/>
              </w:rPr>
              <w:t>.以上资料均要求提供扫描件（或官方网站截图），原件备查。</w:t>
            </w:r>
            <w:r>
              <w:t>评分中出现无证明资料或专家无法凭所提供资料判断是否得分的情况，一律作不得分处理。</w:t>
            </w:r>
          </w:p>
          <w:p>
            <w:pPr>
              <w:spacing w:after="160"/>
            </w:pPr>
            <w:r>
              <w:rPr>
                <w:rFonts w:hint="eastAsia"/>
              </w:rPr>
              <w:t>4</w:t>
            </w:r>
            <w:r>
              <w:t>.由</w:t>
            </w:r>
            <w:r>
              <w:rPr>
                <w:rFonts w:hint="eastAsia"/>
              </w:rPr>
              <w:t>协会等</w:t>
            </w:r>
            <w:r>
              <w:t>社会组织颁发的证书，还需提供该组织在“中国社会组织政务服务平台”的已合法登记且状态正常截图。</w:t>
            </w:r>
          </w:p>
          <w:p>
            <w:pPr>
              <w:pStyle w:val="NormalIndent"/>
              <w:ind w:firstLine="0"/>
            </w:pPr>
            <w:r>
              <w:rPr>
                <w:rFonts w:hint="eastAsia"/>
              </w:rPr>
              <w:t>5.如涉及学历，要求提供证书扫描件以及学信网查询记录。对于较早颁发的学历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szCs w:val="21"/>
              </w:rPr>
            </w:pPr>
            <w:r>
              <w:rPr>
                <w:rFonts w:ascii="宋体" w:hAnsi="宋体" w:hint="eastAsia"/>
                <w:szCs w:val="21"/>
              </w:rPr>
              <w:t>7</w:t>
            </w:r>
          </w:p>
        </w:tc>
        <w:tc>
          <w:tcPr>
            <w:tcW w:w="1129" w:type="dxa"/>
            <w:vAlign w:val="center"/>
          </w:tcPr>
          <w:p>
            <w:pPr>
              <w:wordWrap w:val="0"/>
              <w:jc w:val="center"/>
              <w:rPr>
                <w:rFonts w:ascii="宋体" w:hAnsi="宋体" w:cs="宋体"/>
                <w:szCs w:val="21"/>
              </w:rPr>
            </w:pPr>
            <w:r>
              <w:rPr>
                <w:rFonts w:ascii="宋体" w:hAnsi="宋体" w:hint="eastAsia"/>
                <w:szCs w:val="21"/>
              </w:rPr>
              <w:t>拟安排的项目主要团队成员（主要技术人员）情况（项目负责人除外）</w:t>
            </w:r>
          </w:p>
        </w:tc>
        <w:tc>
          <w:tcPr>
            <w:tcW w:w="891" w:type="dxa"/>
            <w:vAlign w:val="center"/>
          </w:tcPr>
          <w:p>
            <w:pPr>
              <w:wordWrap w:val="0"/>
              <w:jc w:val="center"/>
              <w:rPr>
                <w:rFonts w:ascii="宋体" w:hAnsi="宋体" w:cs="宋体"/>
                <w:szCs w:val="21"/>
              </w:rPr>
            </w:pPr>
            <w:r>
              <w:rPr>
                <w:rFonts w:ascii="宋体" w:hAnsi="宋体"/>
                <w:szCs w:val="21"/>
              </w:rPr>
              <w:t>5</w:t>
            </w:r>
          </w:p>
        </w:tc>
        <w:tc>
          <w:tcPr>
            <w:tcW w:w="5701" w:type="dxa"/>
          </w:tcPr>
          <w:p>
            <w:pPr>
              <w:spacing w:after="160"/>
            </w:pPr>
            <w:r>
              <w:rPr>
                <w:rFonts w:hint="eastAsia"/>
              </w:rPr>
              <w:t>（一）评分内容：拟安排项目主要团队成员为投标单位员工（以社保为准），否则该人员情况不计分。</w:t>
            </w:r>
          </w:p>
          <w:p>
            <w:pPr>
              <w:spacing w:after="160"/>
            </w:pPr>
            <w:r>
              <w:rPr>
                <w:rFonts w:hint="eastAsia"/>
              </w:rPr>
              <w:t>1、客服主管（1名）：具有大专或以上学历，同时具有安</w:t>
            </w:r>
            <w:r>
              <w:rPr>
                <w:rFonts w:hint="eastAsia"/>
                <w:lang w:val="en-US" w:eastAsia="zh-CN"/>
              </w:rPr>
              <w:t>检部门</w:t>
            </w:r>
            <w:r>
              <w:rPr>
                <w:rFonts w:hint="eastAsia"/>
              </w:rPr>
              <w:t>或应急管理</w:t>
            </w:r>
            <w:r>
              <w:rPr>
                <w:rFonts w:hint="eastAsia"/>
                <w:lang w:val="en-US" w:eastAsia="zh-CN"/>
              </w:rPr>
              <w:t>部门</w:t>
            </w:r>
            <w:r>
              <w:rPr>
                <w:rFonts w:hint="eastAsia"/>
              </w:rPr>
              <w:t>颁发的安全生产知识和管理能力考核合格证的，得15分，具有急救中心颁发的救护员证的，得10分，本小项最高得25分；</w:t>
            </w:r>
          </w:p>
          <w:p>
            <w:pPr>
              <w:spacing w:after="160"/>
            </w:pPr>
            <w:r>
              <w:rPr>
                <w:rFonts w:hint="eastAsia"/>
              </w:rPr>
              <w:t>2、、保安队长（1名）：具有大专或以上学历、同时具有</w:t>
            </w:r>
            <w:r>
              <w:rPr>
                <w:rFonts w:hint="eastAsia"/>
                <w:lang w:val="en-US" w:eastAsia="zh-CN"/>
              </w:rPr>
              <w:t>应急管理部门（原安全生产监督管理部门）及</w:t>
            </w:r>
            <w:r>
              <w:rPr>
                <w:rFonts w:hint="eastAsia"/>
              </w:rPr>
              <w:t>人社部门颁发的注册安全工程师证的得15分，具有人社部门颁发的安全管理类</w:t>
            </w:r>
            <w:r>
              <w:rPr>
                <w:rFonts w:hint="eastAsia"/>
                <w:lang w:val="en-US" w:eastAsia="zh-CN"/>
              </w:rPr>
              <w:t>专业</w:t>
            </w:r>
            <w:r>
              <w:rPr>
                <w:rFonts w:hint="eastAsia"/>
              </w:rPr>
              <w:t>副高级或以上技术职称得10分，本小项最高得25分；</w:t>
            </w:r>
          </w:p>
          <w:p>
            <w:pPr>
              <w:spacing w:after="160"/>
            </w:pPr>
            <w:r>
              <w:rPr>
                <w:rFonts w:hint="eastAsia"/>
              </w:rPr>
              <w:t>3、环境主管（1名）： 具有大专（或以上）学历，同时具有城市环卫清洁行业协会颁发的高级清洁管理师证书的得15分；具有安全生产监督管理部门或应急管理部门颁发的安全生产知识和管理能力考核合格证的得10分；本小项最高得25分；</w:t>
            </w:r>
          </w:p>
          <w:p>
            <w:pPr>
              <w:spacing w:after="160"/>
            </w:pPr>
            <w:r>
              <w:rPr>
                <w:rFonts w:hint="eastAsia"/>
              </w:rPr>
              <w:t>4、工程主管（1名）：具有大专或以上学历及应急部门或安监部门颁发的特种作业操作证（准操项目：高处安装、维护、拆除作业）的，得15分；具有应急部门或安监部门颁发的特种作业操作证（操作项目：制冷与空调设备运行操作作业）得5分；具有市监部门颁发的特种设备安全管理和作业人员证或特种设备安全管理人员证（项目代号A）的得5分；本小项最高得25分。</w:t>
            </w:r>
          </w:p>
          <w:p>
            <w:pPr>
              <w:spacing w:after="160"/>
            </w:pPr>
            <w:r>
              <w:rPr>
                <w:rFonts w:hint="eastAsia"/>
              </w:rPr>
              <w:t>以上4项累计评分，同一人担任多个岗位则该人的岗位均作无效处理，累计得分不超过100分。</w:t>
            </w:r>
          </w:p>
          <w:p>
            <w:pPr>
              <w:spacing w:after="160"/>
            </w:pPr>
            <w:r>
              <w:rPr>
                <w:rFonts w:hint="eastAsia"/>
              </w:rPr>
              <w:t>（二）评分依据：</w:t>
            </w:r>
          </w:p>
          <w:p>
            <w:pPr>
              <w:spacing w:after="160"/>
            </w:pPr>
            <w:r>
              <w:rPr>
                <w:rFonts w:hint="eastAsia"/>
              </w:rPr>
              <w:t>1. 提供通过投标人缴纳的近三个月的任意一个月的社保证明作为本单位员工的证明依据。另，若供应商成立不足三个月的，需提供说明函（格式自拟），无需提供社保，亦可得分。</w:t>
            </w:r>
          </w:p>
          <w:p>
            <w:pPr>
              <w:spacing w:after="160"/>
            </w:pPr>
            <w:r>
              <w:rPr>
                <w:rFonts w:hint="eastAsia"/>
              </w:rPr>
              <w:t>2.</w:t>
            </w:r>
            <w:r>
              <w:t xml:space="preserve"> </w:t>
            </w:r>
            <w:r>
              <w:rPr>
                <w:rFonts w:hint="eastAsia"/>
              </w:rPr>
              <w:t>要求提供投标人相关证明资料作为得分依据。</w:t>
            </w:r>
          </w:p>
          <w:p>
            <w:pPr>
              <w:spacing w:after="160"/>
            </w:pPr>
            <w:r>
              <w:rPr>
                <w:rFonts w:hint="eastAsia"/>
              </w:rPr>
              <w:t>3.</w:t>
            </w:r>
            <w:r>
              <w:t xml:space="preserve"> </w:t>
            </w:r>
            <w:r>
              <w:rPr>
                <w:rFonts w:hint="eastAsia"/>
              </w:rPr>
              <w:t>以上资料均要求提供扫描件（或官方网站截图），原件备查。</w:t>
            </w:r>
            <w:r>
              <w:t>评分中出现无证明资料或专家无法凭所提供资料判断是否得分的情况，一律作不得分处理。</w:t>
            </w:r>
          </w:p>
          <w:p>
            <w:pPr>
              <w:spacing w:after="160"/>
            </w:pPr>
            <w:r>
              <w:rPr>
                <w:rFonts w:hint="eastAsia"/>
              </w:rPr>
              <w:t>4</w:t>
            </w:r>
            <w:r>
              <w:t>.由</w:t>
            </w:r>
            <w:r>
              <w:rPr>
                <w:rFonts w:hint="eastAsia"/>
              </w:rPr>
              <w:t>协会等</w:t>
            </w:r>
            <w:r>
              <w:t>社会组织颁发的证书，还需提供该组织在“中国社会组织政务服务平台”的已合法登记且状态正常截图</w:t>
            </w:r>
            <w:r>
              <w:rPr>
                <w:rFonts w:hint="eastAsia"/>
              </w:rPr>
              <w:t>。</w:t>
            </w:r>
          </w:p>
          <w:p>
            <w:pPr>
              <w:pStyle w:val="NormalIndent"/>
              <w:ind w:firstLine="0"/>
            </w:pPr>
            <w:r>
              <w:rPr>
                <w:rFonts w:hint="eastAsia"/>
              </w:rPr>
              <w:t>5.如涉及学历，要求提供证书扫描件以及学信网查询记录。对于较早颁发的学历学位证书，学信网无法查询的，要求提供证书扫描件和其他佐证材料（如毕业院校、人社部门等颁发机构或监管机构等单位出具的证明）作为得分的依据。海外留学（含港澳台）人员学历无法通过学信网站查询，应当提供“教育部留学服务中心出具的国外学历认证证书以及教育部留学服务中心官网查询截图”作为得分依据。</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8</w:t>
            </w:r>
          </w:p>
        </w:tc>
        <w:tc>
          <w:tcPr>
            <w:tcW w:w="1129" w:type="dxa"/>
            <w:vAlign w:val="center"/>
          </w:tcPr>
          <w:p>
            <w:pPr>
              <w:wordWrap w:val="0"/>
              <w:jc w:val="center"/>
              <w:rPr>
                <w:rFonts w:ascii="宋体" w:hAnsi="宋体" w:cs="宋体"/>
                <w:szCs w:val="21"/>
              </w:rPr>
            </w:pPr>
            <w:r>
              <w:rPr>
                <w:rFonts w:ascii="宋体" w:hAnsi="宋体" w:hint="eastAsia"/>
                <w:szCs w:val="21"/>
              </w:rPr>
              <w:t>拟投入的服务资源（车辆、场地、工具、机器等）情况</w:t>
            </w:r>
          </w:p>
        </w:tc>
        <w:tc>
          <w:tcPr>
            <w:tcW w:w="891" w:type="dxa"/>
            <w:vAlign w:val="center"/>
          </w:tcPr>
          <w:p>
            <w:pPr>
              <w:wordWrap w:val="0"/>
              <w:jc w:val="center"/>
              <w:rPr>
                <w:rFonts w:ascii="宋体" w:hAnsi="宋体" w:cs="宋体"/>
                <w:szCs w:val="21"/>
              </w:rPr>
            </w:pPr>
            <w:r>
              <w:rPr>
                <w:rFonts w:ascii="宋体" w:hAnsi="宋体" w:hint="eastAsia"/>
                <w:szCs w:val="21"/>
              </w:rPr>
              <w:t>5</w:t>
            </w:r>
          </w:p>
        </w:tc>
        <w:tc>
          <w:tcPr>
            <w:tcW w:w="5701" w:type="dxa"/>
          </w:tcPr>
          <w:p>
            <w:pPr>
              <w:spacing w:after="160"/>
              <w:rPr>
                <w:rFonts w:ascii="宋体" w:hAnsi="宋体"/>
                <w:szCs w:val="21"/>
              </w:rPr>
            </w:pPr>
            <w:r>
              <w:rPr>
                <w:rFonts w:ascii="宋体" w:hAnsi="宋体" w:hint="eastAsia"/>
                <w:szCs w:val="21"/>
              </w:rPr>
              <w:t>（一）评分内容：</w:t>
            </w:r>
          </w:p>
          <w:p>
            <w:pPr>
              <w:spacing w:after="160"/>
              <w:rPr>
                <w:rFonts w:ascii="宋体" w:hAnsi="宋体"/>
                <w:szCs w:val="21"/>
              </w:rPr>
            </w:pPr>
            <w:r>
              <w:rPr>
                <w:rFonts w:ascii="宋体" w:hAnsi="宋体" w:hint="eastAsia"/>
                <w:szCs w:val="21"/>
              </w:rPr>
              <w:t>投标人承诺，中标后，提供能满足采购单位日常管理所需的工程维修、秩序维护、清洁、绿化等机器设备（包括但不限于对讲机、油锯、高压冲洗设备等）。包含满足档案管理、日常办公设备复印</w:t>
            </w:r>
            <w:r>
              <w:rPr>
                <w:rFonts w:ascii="宋体" w:hAnsi="宋体" w:hint="eastAsia"/>
                <w:szCs w:val="21"/>
                <w:lang w:val="en-US" w:eastAsia="zh-CN"/>
              </w:rPr>
              <w:t>机</w:t>
            </w:r>
            <w:r>
              <w:rPr>
                <w:rFonts w:ascii="宋体" w:hAnsi="宋体" w:hint="eastAsia"/>
                <w:szCs w:val="21"/>
              </w:rPr>
              <w:t>、打印机、电脑等。承诺使用的设备要在签订合同后15日内全部进场。</w:t>
            </w:r>
          </w:p>
          <w:p>
            <w:pPr>
              <w:spacing w:after="160"/>
              <w:rPr>
                <w:rFonts w:ascii="宋体" w:hAnsi="宋体"/>
                <w:szCs w:val="21"/>
              </w:rPr>
            </w:pPr>
            <w:r>
              <w:rPr>
                <w:rFonts w:ascii="宋体" w:hAnsi="宋体" w:hint="eastAsia"/>
                <w:szCs w:val="21"/>
              </w:rPr>
              <w:t>（二）评分依据:</w:t>
            </w:r>
          </w:p>
          <w:p>
            <w:pPr>
              <w:spacing w:after="160"/>
              <w:rPr>
                <w:rFonts w:ascii="宋体" w:hAnsi="宋体"/>
                <w:szCs w:val="21"/>
              </w:rPr>
            </w:pPr>
            <w:r>
              <w:rPr>
                <w:rFonts w:ascii="宋体" w:hAnsi="宋体" w:hint="eastAsia"/>
                <w:szCs w:val="21"/>
              </w:rPr>
              <w:t>要求投标人提供承诺（格式自定）作为得分依据。未提供承诺或承诺内容不满足要求均不得分。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tcPr>
          <w:p>
            <w:pPr>
              <w:wordWrap w:val="0"/>
              <w:jc w:val="center"/>
              <w:rPr>
                <w:rFonts w:ascii="宋体" w:hAnsi="宋体" w:cs="宋体"/>
                <w:b/>
                <w:bCs/>
                <w:color w:val="0000FF"/>
                <w:sz w:val="24"/>
              </w:rPr>
            </w:pPr>
            <w:r>
              <w:rPr>
                <w:b/>
                <w:bCs/>
                <w:color w:val="0000FF"/>
              </w:rPr>
              <w:t>3</w:t>
            </w:r>
          </w:p>
        </w:tc>
        <w:tc>
          <w:tcPr>
            <w:tcW w:w="2695" w:type="dxa"/>
            <w:gridSpan w:val="3"/>
          </w:tcPr>
          <w:p>
            <w:pPr>
              <w:wordWrap w:val="0"/>
              <w:jc w:val="center"/>
              <w:rPr>
                <w:rFonts w:ascii="宋体" w:hAnsi="宋体" w:cs="宋体"/>
                <w:b/>
                <w:bCs/>
                <w:color w:val="0000FF"/>
                <w:sz w:val="24"/>
              </w:rPr>
            </w:pPr>
            <w:r>
              <w:rPr>
                <w:rFonts w:hint="eastAsia"/>
                <w:b/>
                <w:bCs/>
                <w:color w:val="0000FF"/>
              </w:rPr>
              <w:t>商务部分</w:t>
            </w:r>
          </w:p>
        </w:tc>
        <w:tc>
          <w:tcPr>
            <w:tcW w:w="5701" w:type="dxa"/>
          </w:tcPr>
          <w:p>
            <w:pPr>
              <w:wordWrap w:val="0"/>
              <w:jc w:val="center"/>
              <w:rPr>
                <w:rFonts w:ascii="宋体" w:hAnsi="宋体" w:cs="宋体"/>
                <w:b/>
                <w:bCs/>
                <w:color w:val="0000FF"/>
                <w:sz w:val="24"/>
              </w:rPr>
            </w:pPr>
            <w:r>
              <w:rPr>
                <w:rFonts w:ascii="宋体" w:hAnsi="宋体" w:cs="宋体" w:hint="eastAsia"/>
                <w:b/>
                <w:bCs/>
                <w:color w:val="0000FF"/>
                <w:sz w:val="24"/>
              </w:rPr>
              <w:t>35</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8396" w:type="dxa"/>
            <w:gridSpan w:val="4"/>
          </w:tcPr>
          <w:p>
            <w:pPr>
              <w:wordWrap w:val="0"/>
              <w:rPr>
                <w:rFonts w:ascii="宋体" w:hAnsi="宋体" w:cs="宋体"/>
                <w:szCs w:val="21"/>
              </w:rPr>
            </w:pP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shd w:val="clear" w:color="auto" w:fill="E6EFFA"/>
            <w:vAlign w:val="center"/>
          </w:tcPr>
          <w:p>
            <w:pPr>
              <w:rPr>
                <w:rFonts w:ascii="宋体" w:hAnsi="宋体" w:cs="宋体"/>
                <w:b/>
                <w:bCs/>
                <w:color w:val="0000FF"/>
                <w:sz w:val="24"/>
              </w:rPr>
            </w:pPr>
          </w:p>
        </w:tc>
        <w:tc>
          <w:tcPr>
            <w:tcW w:w="675" w:type="dxa"/>
            <w:shd w:val="clear" w:color="auto" w:fill="E6EFFA"/>
            <w:vAlign w:val="center"/>
          </w:tcPr>
          <w:p>
            <w:pPr>
              <w:wordWrap w:val="0"/>
              <w:jc w:val="center"/>
              <w:rPr>
                <w:rFonts w:ascii="宋体" w:hAnsi="宋体" w:cs="宋体"/>
                <w:szCs w:val="21"/>
              </w:rPr>
            </w:pPr>
            <w:r>
              <w:rPr>
                <w:szCs w:val="21"/>
              </w:rPr>
              <w:t>序号</w:t>
            </w:r>
          </w:p>
        </w:tc>
        <w:tc>
          <w:tcPr>
            <w:tcW w:w="1129" w:type="dxa"/>
            <w:shd w:val="clear" w:color="auto" w:fill="E6EFFA"/>
            <w:vAlign w:val="center"/>
          </w:tcPr>
          <w:p>
            <w:pPr>
              <w:wordWrap w:val="0"/>
              <w:jc w:val="center"/>
              <w:rPr>
                <w:rFonts w:ascii="宋体" w:hAnsi="宋体" w:cs="宋体"/>
                <w:szCs w:val="21"/>
              </w:rPr>
            </w:pPr>
            <w:r>
              <w:rPr>
                <w:rFonts w:hint="eastAsia"/>
                <w:szCs w:val="21"/>
              </w:rPr>
              <w:t>评审因素</w:t>
            </w:r>
          </w:p>
        </w:tc>
        <w:tc>
          <w:tcPr>
            <w:tcW w:w="891" w:type="dxa"/>
            <w:shd w:val="clear" w:color="auto" w:fill="E6EFFA"/>
            <w:vAlign w:val="center"/>
          </w:tcPr>
          <w:p>
            <w:pPr>
              <w:wordWrap w:val="0"/>
              <w:jc w:val="center"/>
              <w:rPr>
                <w:rFonts w:ascii="宋体" w:hAnsi="宋体" w:cs="宋体"/>
                <w:szCs w:val="21"/>
              </w:rPr>
            </w:pPr>
            <w:r>
              <w:rPr>
                <w:szCs w:val="21"/>
              </w:rPr>
              <w:t>权重(%)</w:t>
            </w:r>
          </w:p>
        </w:tc>
        <w:tc>
          <w:tcPr>
            <w:tcW w:w="5701" w:type="dxa"/>
            <w:shd w:val="clear" w:color="auto" w:fill="E6EFFA"/>
            <w:vAlign w:val="center"/>
          </w:tcPr>
          <w:p>
            <w:pPr>
              <w:wordWrap w:val="0"/>
              <w:jc w:val="center"/>
              <w:rPr>
                <w:rFonts w:ascii="宋体" w:hAnsi="宋体" w:cs="宋体"/>
                <w:szCs w:val="21"/>
              </w:rPr>
            </w:pPr>
            <w:r>
              <w:rPr>
                <w:szCs w:val="21"/>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1</w:t>
            </w:r>
          </w:p>
        </w:tc>
        <w:tc>
          <w:tcPr>
            <w:tcW w:w="1129" w:type="dxa"/>
            <w:vAlign w:val="center"/>
          </w:tcPr>
          <w:p>
            <w:pPr>
              <w:wordWrap w:val="0"/>
              <w:jc w:val="center"/>
              <w:rPr>
                <w:rFonts w:ascii="宋体" w:hAnsi="宋体" w:cs="宋体"/>
                <w:szCs w:val="21"/>
              </w:rPr>
            </w:pPr>
            <w:r>
              <w:rPr>
                <w:rFonts w:ascii="宋体" w:hAnsi="宋体" w:hint="eastAsia"/>
                <w:szCs w:val="21"/>
              </w:rPr>
              <w:t>供应商认证情况</w:t>
            </w:r>
          </w:p>
        </w:tc>
        <w:tc>
          <w:tcPr>
            <w:tcW w:w="891" w:type="dxa"/>
            <w:vAlign w:val="center"/>
          </w:tcPr>
          <w:p>
            <w:pPr>
              <w:wordWrap w:val="0"/>
              <w:jc w:val="center"/>
              <w:rPr>
                <w:rFonts w:ascii="宋体" w:hAnsi="宋体" w:cs="宋体"/>
                <w:szCs w:val="21"/>
              </w:rPr>
            </w:pPr>
            <w:r>
              <w:rPr>
                <w:rFonts w:ascii="宋体" w:hAnsi="宋体"/>
                <w:szCs w:val="21"/>
              </w:rPr>
              <w:t>10</w:t>
            </w:r>
          </w:p>
        </w:tc>
        <w:tc>
          <w:tcPr>
            <w:tcW w:w="5701" w:type="dxa"/>
          </w:tcPr>
          <w:p>
            <w:pPr>
              <w:spacing w:after="160"/>
              <w:rPr>
                <w:rFonts w:ascii="宋体" w:hAnsi="宋体"/>
                <w:szCs w:val="21"/>
              </w:rPr>
            </w:pPr>
            <w:r>
              <w:rPr>
                <w:rFonts w:ascii="宋体" w:hAnsi="宋体" w:hint="eastAsia"/>
                <w:szCs w:val="21"/>
              </w:rPr>
              <w:t>（一）评分内容：</w:t>
            </w:r>
          </w:p>
          <w:p>
            <w:pPr>
              <w:spacing w:after="160"/>
              <w:rPr>
                <w:rFonts w:ascii="宋体" w:hAnsi="宋体"/>
                <w:szCs w:val="21"/>
              </w:rPr>
            </w:pPr>
            <w:r>
              <w:rPr>
                <w:rFonts w:ascii="宋体" w:hAnsi="宋体" w:hint="eastAsia"/>
                <w:szCs w:val="21"/>
              </w:rPr>
              <w:t>1、投标人具有质量管理体系认证，信息安全管理体系认证，物业服务五星级认证。全部满足得40分</w:t>
            </w:r>
            <w:r>
              <w:rPr>
                <w:rFonts w:ascii="宋体" w:hAnsi="宋体" w:hint="eastAsia"/>
                <w:szCs w:val="21"/>
                <w:lang w:eastAsia="zh-CN"/>
              </w:rPr>
              <w:t>，</w:t>
            </w:r>
            <w:r>
              <w:rPr>
                <w:rFonts w:ascii="宋体" w:hAnsi="宋体" w:hint="eastAsia"/>
                <w:szCs w:val="21"/>
              </w:rPr>
              <w:t>满足</w:t>
            </w:r>
            <w:r>
              <w:rPr>
                <w:rFonts w:ascii="宋体" w:hAnsi="宋体" w:hint="eastAsia"/>
                <w:szCs w:val="21"/>
                <w:lang w:val="en-US" w:eastAsia="zh-CN"/>
              </w:rPr>
              <w:t>任意</w:t>
            </w:r>
            <w:r>
              <w:rPr>
                <w:rFonts w:ascii="宋体" w:hAnsi="宋体" w:hint="eastAsia"/>
                <w:szCs w:val="21"/>
              </w:rPr>
              <w:t>二项得20分，其余不得分。</w:t>
            </w:r>
          </w:p>
          <w:p>
            <w:pPr>
              <w:spacing w:after="160"/>
              <w:rPr>
                <w:rFonts w:ascii="宋体" w:hAnsi="宋体"/>
                <w:szCs w:val="21"/>
              </w:rPr>
            </w:pPr>
            <w:r>
              <w:rPr>
                <w:rFonts w:ascii="宋体" w:hAnsi="宋体" w:hint="eastAsia"/>
                <w:szCs w:val="21"/>
              </w:rPr>
              <w:t>2、投标人具有城市环卫清洁行业协会颁发的甲级（或A级或一级）清洁服务企业资格等级证书，得10分，投标人获得生活垃圾分类服务能力认证书的得10分，其余不得分，本项最多得20分。</w:t>
            </w:r>
          </w:p>
          <w:p>
            <w:pPr>
              <w:spacing w:after="160"/>
              <w:rPr>
                <w:rFonts w:ascii="宋体" w:hAnsi="宋体"/>
                <w:szCs w:val="21"/>
              </w:rPr>
            </w:pPr>
            <w:r>
              <w:rPr>
                <w:rFonts w:ascii="宋体" w:hAnsi="宋体" w:hint="eastAsia"/>
                <w:szCs w:val="21"/>
              </w:rPr>
              <w:t>3、投标人具有有害生物防治协会颁发的《病媒生物防治服务机构服务能力证书》且经过爱国卫生运动委员会办公室备案得20分。</w:t>
            </w:r>
          </w:p>
          <w:p>
            <w:pPr>
              <w:spacing w:after="160"/>
              <w:rPr>
                <w:rFonts w:ascii="宋体" w:hAnsi="宋体"/>
                <w:szCs w:val="21"/>
              </w:rPr>
            </w:pPr>
            <w:r>
              <w:rPr>
                <w:rFonts w:ascii="宋体" w:hAnsi="宋体" w:hint="eastAsia"/>
                <w:szCs w:val="21"/>
              </w:rPr>
              <w:t>4、投标人具有中国职业安全健康协会高空服务业分会颁发的高空服务业企业安全资质证书的得20分。</w:t>
            </w:r>
          </w:p>
          <w:p>
            <w:pPr>
              <w:spacing w:after="160"/>
              <w:rPr>
                <w:rFonts w:ascii="宋体" w:hAnsi="宋体"/>
                <w:szCs w:val="21"/>
              </w:rPr>
            </w:pPr>
            <w:r>
              <w:rPr>
                <w:rFonts w:ascii="宋体" w:hAnsi="宋体" w:hint="eastAsia"/>
                <w:szCs w:val="21"/>
              </w:rPr>
              <w:t>（二）评分依据：</w:t>
            </w:r>
          </w:p>
          <w:p>
            <w:pPr>
              <w:spacing w:after="160"/>
              <w:rPr>
                <w:rFonts w:ascii="宋体" w:hAnsi="宋体"/>
                <w:szCs w:val="21"/>
              </w:rPr>
            </w:pPr>
            <w:r>
              <w:rPr>
                <w:rFonts w:ascii="宋体" w:hAnsi="宋体" w:hint="eastAsia"/>
                <w:szCs w:val="21"/>
              </w:rPr>
              <w:t>1.要求提供有效的认证证书作为得分依据。</w:t>
            </w:r>
          </w:p>
          <w:p>
            <w:pPr>
              <w:spacing w:after="160"/>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p>
            <w:pPr>
              <w:spacing w:after="160"/>
            </w:pPr>
            <w:r>
              <w:rPr>
                <w:rFonts w:ascii="宋体" w:hAnsi="宋体"/>
                <w:color w:val="000000"/>
                <w:szCs w:val="21"/>
              </w:rPr>
              <w:t>3.由</w:t>
            </w:r>
            <w:r>
              <w:rPr>
                <w:rFonts w:ascii="宋体" w:hAnsi="宋体" w:hint="eastAsia"/>
                <w:color w:val="000000"/>
                <w:szCs w:val="21"/>
              </w:rPr>
              <w:t>协会等</w:t>
            </w:r>
            <w:r>
              <w:rPr>
                <w:rFonts w:ascii="宋体" w:hAnsi="宋体"/>
                <w:color w:val="000000"/>
                <w:szCs w:val="21"/>
              </w:rPr>
              <w:t>社会组织颁发的证书，还需提供该组织在“中国社会组织政务服务平台”的已合法登记且状态正常截图。</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hint="eastAsia"/>
                <w:szCs w:val="21"/>
              </w:rPr>
              <w:t>2</w:t>
            </w:r>
          </w:p>
        </w:tc>
        <w:tc>
          <w:tcPr>
            <w:tcW w:w="1129" w:type="dxa"/>
            <w:vAlign w:val="center"/>
          </w:tcPr>
          <w:p>
            <w:pPr>
              <w:wordWrap w:val="0"/>
              <w:jc w:val="center"/>
              <w:rPr>
                <w:rFonts w:ascii="宋体" w:hAnsi="宋体" w:cs="宋体"/>
                <w:szCs w:val="21"/>
              </w:rPr>
            </w:pPr>
            <w:r>
              <w:rPr>
                <w:rFonts w:ascii="宋体" w:hAnsi="宋体" w:hint="eastAsia"/>
                <w:szCs w:val="21"/>
              </w:rPr>
              <w:t>供应商同类项目业绩情况</w:t>
            </w:r>
          </w:p>
        </w:tc>
        <w:tc>
          <w:tcPr>
            <w:tcW w:w="891" w:type="dxa"/>
            <w:vAlign w:val="center"/>
          </w:tcPr>
          <w:p>
            <w:pPr>
              <w:wordWrap w:val="0"/>
              <w:jc w:val="center"/>
              <w:rPr>
                <w:rFonts w:ascii="宋体" w:hAnsi="宋体" w:cs="宋体"/>
                <w:szCs w:val="21"/>
              </w:rPr>
            </w:pPr>
            <w:r>
              <w:rPr>
                <w:rFonts w:ascii="宋体" w:hAnsi="宋体" w:hint="eastAsia"/>
                <w:szCs w:val="21"/>
              </w:rPr>
              <w:t>8</w:t>
            </w:r>
          </w:p>
        </w:tc>
        <w:tc>
          <w:tcPr>
            <w:tcW w:w="5701" w:type="dxa"/>
          </w:tcPr>
          <w:p>
            <w:pPr>
              <w:spacing w:after="160"/>
              <w:rPr>
                <w:rFonts w:ascii="宋体" w:hAnsi="宋体"/>
                <w:szCs w:val="21"/>
              </w:rPr>
            </w:pPr>
            <w:r>
              <w:rPr>
                <w:rFonts w:ascii="宋体" w:hAnsi="宋体" w:hint="eastAsia"/>
                <w:szCs w:val="21"/>
              </w:rPr>
              <w:t>（一）评分内容：</w:t>
            </w:r>
          </w:p>
          <w:p>
            <w:pPr>
              <w:spacing w:after="160"/>
              <w:rPr>
                <w:rFonts w:ascii="宋体" w:hAnsi="宋体"/>
                <w:color w:val="000000" w:themeColor="text1"/>
                <w:szCs w:val="21"/>
                <w14:textFill>
                  <w14:solidFill>
                    <w14:schemeClr w14:val="tx1"/>
                  </w14:solidFill>
                </w14:textFill>
              </w:rPr>
            </w:pPr>
            <w:r>
              <w:rPr>
                <w:rFonts w:ascii="宋体" w:hAnsi="宋体" w:hint="eastAsia"/>
                <w:szCs w:val="21"/>
              </w:rPr>
              <w:t>投标人近三年（2020年1月1日至本项目投标截止日，以合同签订时间为准），承担过党政机关及事业单位物业管理项目业绩的，每有1个得50分数，最高为100分数（服务内容至少包含：保安、保洁、绿化</w:t>
            </w:r>
            <w:r>
              <w:rPr>
                <w:rFonts w:ascii="宋体" w:hAnsi="宋体" w:hint="eastAsia"/>
                <w:color w:val="000000" w:themeColor="text1"/>
                <w:szCs w:val="21"/>
                <w14:textFill>
                  <w14:solidFill>
                    <w14:schemeClr w14:val="tx1"/>
                  </w14:solidFill>
                </w14:textFill>
              </w:rPr>
              <w:t>与工程维修等四项服务内容，服务内容的文字描述可以不完全一致，意思相近即可，续签合同不得作为多个业绩计算）</w:t>
            </w:r>
          </w:p>
          <w:p>
            <w:pPr>
              <w:spacing w:after="160"/>
              <w:rPr>
                <w:rFonts w:ascii="宋体" w:hAnsi="宋体"/>
                <w:szCs w:val="21"/>
              </w:rPr>
            </w:pPr>
            <w:r>
              <w:rPr>
                <w:rFonts w:ascii="宋体" w:hAnsi="宋体" w:hint="eastAsia"/>
                <w:szCs w:val="21"/>
              </w:rPr>
              <w:t>（二）评分依据：</w:t>
            </w:r>
          </w:p>
          <w:p>
            <w:pPr>
              <w:spacing w:after="160"/>
              <w:rPr>
                <w:rFonts w:ascii="宋体" w:hAnsi="宋体"/>
                <w:szCs w:val="21"/>
              </w:rPr>
            </w:pPr>
            <w:r>
              <w:rPr>
                <w:rFonts w:ascii="宋体" w:hAnsi="宋体" w:hint="eastAsia"/>
                <w:szCs w:val="21"/>
              </w:rPr>
              <w:t>1.要求同时提供合同关键信息，且履约评价合格或者验收合格证明文件作为得分依据，履约评价合格或者验收合格证明文件需加盖合同甲方公章（或甲方业务章）。</w:t>
            </w:r>
          </w:p>
          <w:p>
            <w:pPr>
              <w:spacing w:after="160"/>
              <w:rPr>
                <w:rFonts w:ascii="宋体" w:hAnsi="宋体"/>
                <w:szCs w:val="21"/>
              </w:rPr>
            </w:pPr>
            <w:r>
              <w:rPr>
                <w:rFonts w:ascii="宋体" w:hAnsi="宋体" w:hint="eastAsia"/>
                <w:szCs w:val="21"/>
              </w:rPr>
              <w:t>2.通过合同关键信息无法判断是否得分的，还须同时提供能证明得分的其它证明资料，如项目报告或合同甲方出具的证明文件等。</w:t>
            </w:r>
          </w:p>
          <w:p>
            <w:pPr>
              <w:spacing w:after="160"/>
              <w:rPr>
                <w:szCs w:val="21"/>
              </w:rPr>
            </w:pPr>
            <w:r>
              <w:rPr>
                <w:rFonts w:ascii="宋体" w:hAnsi="宋体" w:hint="eastAsia"/>
                <w:szCs w:val="21"/>
              </w:rPr>
              <w:t>3.以上资料均要求提供扫描件，原件备查。</w:t>
            </w:r>
            <w:r>
              <w:rPr>
                <w:szCs w:val="21"/>
              </w:rPr>
              <w:t>评分中出现无证明资料或专家无法凭所提供资料判断是否得分的情况，一律作不得分处理。</w:t>
            </w:r>
          </w:p>
        </w:tc>
      </w:tr>
      <w:tr>
        <w:tblPrEx>
          <w:tblW w:w="9072" w:type="dxa"/>
          <w:jc w:val="center"/>
          <w:tblCellSpacing w:w="0" w:type="dxa"/>
          <w:tblCellMar>
            <w:top w:w="20" w:type="dxa"/>
            <w:left w:w="108" w:type="dxa"/>
            <w:bottom w:w="20" w:type="dxa"/>
            <w:right w:w="108" w:type="dxa"/>
          </w:tblCellMar>
        </w:tblPrEx>
        <w:trPr>
          <w:trHeight w:val="2364"/>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hint="eastAsia"/>
                <w:szCs w:val="21"/>
              </w:rPr>
              <w:t>3</w:t>
            </w:r>
          </w:p>
        </w:tc>
        <w:tc>
          <w:tcPr>
            <w:tcW w:w="1129" w:type="dxa"/>
            <w:vAlign w:val="center"/>
          </w:tcPr>
          <w:p>
            <w:pPr>
              <w:wordWrap w:val="0"/>
              <w:jc w:val="center"/>
              <w:rPr>
                <w:rFonts w:ascii="宋体" w:hAnsi="宋体" w:cs="宋体"/>
                <w:szCs w:val="21"/>
              </w:rPr>
            </w:pPr>
            <w:r>
              <w:rPr>
                <w:rFonts w:ascii="宋体" w:hAnsi="宋体" w:hint="eastAsia"/>
                <w:szCs w:val="21"/>
              </w:rPr>
              <w:t>供应商获奖情况</w:t>
            </w:r>
          </w:p>
        </w:tc>
        <w:tc>
          <w:tcPr>
            <w:tcW w:w="891" w:type="dxa"/>
            <w:vAlign w:val="center"/>
          </w:tcPr>
          <w:p>
            <w:pPr>
              <w:wordWrap w:val="0"/>
              <w:jc w:val="center"/>
              <w:rPr>
                <w:rFonts w:ascii="宋体" w:hAnsi="宋体" w:cs="宋体"/>
                <w:szCs w:val="21"/>
              </w:rPr>
            </w:pPr>
            <w:r>
              <w:rPr>
                <w:rFonts w:ascii="宋体" w:hAnsi="宋体"/>
                <w:szCs w:val="21"/>
              </w:rPr>
              <w:t>5</w:t>
            </w:r>
          </w:p>
        </w:tc>
        <w:tc>
          <w:tcPr>
            <w:tcW w:w="5701" w:type="dxa"/>
          </w:tcPr>
          <w:p>
            <w:pPr>
              <w:spacing w:after="160"/>
              <w:rPr>
                <w:rFonts w:ascii="宋体" w:hAnsi="宋体"/>
                <w:szCs w:val="21"/>
              </w:rPr>
            </w:pPr>
            <w:r>
              <w:rPr>
                <w:rFonts w:ascii="宋体" w:hAnsi="宋体" w:hint="eastAsia"/>
                <w:szCs w:val="21"/>
              </w:rPr>
              <w:t>（一）评分内容：</w:t>
            </w:r>
          </w:p>
          <w:p>
            <w:pPr>
              <w:spacing w:after="160"/>
              <w:rPr>
                <w:rFonts w:ascii="宋体" w:hAnsi="宋体"/>
                <w:szCs w:val="21"/>
              </w:rPr>
            </w:pPr>
            <w:r>
              <w:rPr>
                <w:rFonts w:ascii="宋体" w:hAnsi="宋体" w:hint="eastAsia"/>
                <w:szCs w:val="21"/>
              </w:rPr>
              <w:t>1、投标人2020年1月1日至本项目开标之日（以颁发时间为准）颁发的“先进保安组织”荣誉的得50分。</w:t>
            </w:r>
          </w:p>
          <w:p>
            <w:pPr>
              <w:spacing w:after="160"/>
              <w:rPr>
                <w:rFonts w:ascii="宋体" w:hAnsi="宋体"/>
                <w:szCs w:val="21"/>
              </w:rPr>
            </w:pPr>
            <w:r>
              <w:rPr>
                <w:rFonts w:ascii="宋体" w:hAnsi="宋体" w:hint="eastAsia"/>
                <w:szCs w:val="21"/>
              </w:rPr>
              <w:t>2、投标人2020年1月1日至本项目开标之日（以颁发时间为准）获得环卫清洁行业协会颁发的先进单位荣誉得50分。</w:t>
            </w:r>
          </w:p>
          <w:p>
            <w:pPr>
              <w:spacing w:after="160"/>
              <w:rPr>
                <w:rFonts w:ascii="宋体" w:hAnsi="宋体"/>
                <w:szCs w:val="21"/>
              </w:rPr>
            </w:pPr>
            <w:r>
              <w:rPr>
                <w:rFonts w:ascii="宋体" w:hAnsi="宋体" w:hint="eastAsia"/>
                <w:szCs w:val="21"/>
              </w:rPr>
              <w:t>以上累计得分，最高得100分。</w:t>
            </w:r>
          </w:p>
          <w:p>
            <w:pPr>
              <w:spacing w:after="160"/>
              <w:rPr>
                <w:rFonts w:ascii="宋体" w:hAnsi="宋体"/>
                <w:szCs w:val="21"/>
              </w:rPr>
            </w:pPr>
            <w:r>
              <w:rPr>
                <w:rFonts w:ascii="宋体" w:hAnsi="宋体" w:hint="eastAsia"/>
                <w:szCs w:val="21"/>
              </w:rPr>
              <w:t>（二）评分依据：</w:t>
            </w:r>
          </w:p>
          <w:p>
            <w:pPr>
              <w:spacing w:after="160"/>
              <w:rPr>
                <w:rFonts w:ascii="宋体" w:hAnsi="宋体"/>
                <w:szCs w:val="21"/>
              </w:rPr>
            </w:pPr>
            <w:r>
              <w:rPr>
                <w:rFonts w:ascii="宋体" w:hAnsi="宋体" w:hint="eastAsia"/>
                <w:szCs w:val="21"/>
              </w:rPr>
              <w:t>1.要求提供奖项照片或获奖（荣誉）证书等证明材料作为得分依据。</w:t>
            </w:r>
          </w:p>
          <w:p>
            <w:pPr>
              <w:spacing w:after="160"/>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p>
            <w:pPr>
              <w:spacing w:after="160"/>
            </w:pPr>
            <w:r>
              <w:rPr>
                <w:rFonts w:hint="eastAsia"/>
                <w:szCs w:val="21"/>
              </w:rPr>
              <w:t>3</w:t>
            </w:r>
            <w:r>
              <w:rPr>
                <w:szCs w:val="21"/>
              </w:rPr>
              <w:t>.</w:t>
            </w:r>
            <w:r>
              <w:rPr>
                <w:rFonts w:ascii="宋体" w:hAnsi="宋体"/>
                <w:color w:val="000000"/>
                <w:szCs w:val="21"/>
              </w:rPr>
              <w:t>由</w:t>
            </w:r>
            <w:r>
              <w:rPr>
                <w:rFonts w:ascii="宋体" w:hAnsi="宋体" w:hint="eastAsia"/>
                <w:color w:val="000000"/>
                <w:szCs w:val="21"/>
              </w:rPr>
              <w:t>协会等</w:t>
            </w:r>
            <w:r>
              <w:rPr>
                <w:rFonts w:ascii="宋体" w:hAnsi="宋体"/>
                <w:color w:val="000000"/>
                <w:szCs w:val="21"/>
              </w:rPr>
              <w:t>社会组织颁发的</w:t>
            </w:r>
            <w:r>
              <w:rPr>
                <w:rFonts w:ascii="宋体" w:hAnsi="宋体" w:hint="eastAsia"/>
                <w:color w:val="000000"/>
                <w:szCs w:val="21"/>
              </w:rPr>
              <w:t>奖项</w:t>
            </w:r>
            <w:r>
              <w:rPr>
                <w:rFonts w:ascii="宋体" w:hAnsi="宋体"/>
                <w:color w:val="000000"/>
                <w:szCs w:val="21"/>
              </w:rPr>
              <w:t>，还需提供该组织在“中国社会组织政务服务平台”的已合法登记且状态正常截图。</w:t>
            </w:r>
          </w:p>
        </w:tc>
      </w:tr>
      <w:tr>
        <w:tblPrEx>
          <w:tblW w:w="9072" w:type="dxa"/>
          <w:jc w:val="center"/>
          <w:tblCellSpacing w:w="0" w:type="dxa"/>
          <w:tblCellMar>
            <w:top w:w="20" w:type="dxa"/>
            <w:left w:w="108" w:type="dxa"/>
            <w:bottom w:w="20" w:type="dxa"/>
            <w:right w:w="108" w:type="dxa"/>
          </w:tblCellMar>
        </w:tblPrEx>
        <w:trPr>
          <w:trHeight w:val="3894"/>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4</w:t>
            </w:r>
          </w:p>
        </w:tc>
        <w:tc>
          <w:tcPr>
            <w:tcW w:w="1129" w:type="dxa"/>
            <w:vAlign w:val="center"/>
          </w:tcPr>
          <w:p>
            <w:pPr>
              <w:wordWrap w:val="0"/>
              <w:jc w:val="center"/>
              <w:rPr>
                <w:rFonts w:ascii="宋体" w:hAnsi="宋体" w:cs="宋体"/>
                <w:szCs w:val="21"/>
              </w:rPr>
            </w:pPr>
            <w:r>
              <w:rPr>
                <w:rFonts w:ascii="宋体" w:hAnsi="宋体" w:hint="eastAsia"/>
                <w:szCs w:val="21"/>
              </w:rPr>
              <w:t>供应商自主知识产权产品（创新、设计）情况</w:t>
            </w:r>
          </w:p>
        </w:tc>
        <w:tc>
          <w:tcPr>
            <w:tcW w:w="891" w:type="dxa"/>
            <w:vAlign w:val="center"/>
          </w:tcPr>
          <w:p>
            <w:pPr>
              <w:wordWrap w:val="0"/>
              <w:jc w:val="center"/>
              <w:rPr>
                <w:rFonts w:ascii="宋体" w:hAnsi="宋体" w:cs="宋体"/>
                <w:szCs w:val="21"/>
              </w:rPr>
            </w:pPr>
            <w:r>
              <w:rPr>
                <w:rFonts w:ascii="宋体" w:hAnsi="宋体" w:hint="eastAsia"/>
                <w:szCs w:val="21"/>
              </w:rPr>
              <w:t>9</w:t>
            </w:r>
          </w:p>
        </w:tc>
        <w:tc>
          <w:tcPr>
            <w:tcW w:w="5701" w:type="dxa"/>
          </w:tcPr>
          <w:p>
            <w:pPr>
              <w:spacing w:after="160"/>
              <w:rPr>
                <w:rFonts w:ascii="宋体" w:hAnsi="宋体"/>
                <w:szCs w:val="21"/>
              </w:rPr>
            </w:pPr>
            <w:r>
              <w:rPr>
                <w:rFonts w:ascii="宋体" w:hAnsi="宋体" w:hint="eastAsia"/>
                <w:szCs w:val="21"/>
              </w:rPr>
              <w:t>（一）评分内容：</w:t>
            </w:r>
          </w:p>
          <w:p>
            <w:pPr>
              <w:spacing w:after="160"/>
              <w:rPr>
                <w:rFonts w:ascii="宋体" w:hAnsi="宋体"/>
                <w:szCs w:val="21"/>
              </w:rPr>
            </w:pPr>
            <w:r>
              <w:rPr>
                <w:rFonts w:ascii="宋体" w:hAnsi="宋体" w:hint="eastAsia"/>
                <w:szCs w:val="21"/>
              </w:rPr>
              <w:t xml:space="preserve">1、具有国家版权局颁发的计算机软件著作权登记证书（物业管理软件类），得50分。 </w:t>
            </w:r>
          </w:p>
          <w:p>
            <w:pPr>
              <w:spacing w:after="160"/>
              <w:rPr>
                <w:rFonts w:ascii="宋体" w:hAnsi="宋体"/>
                <w:szCs w:val="21"/>
              </w:rPr>
            </w:pPr>
            <w:r>
              <w:rPr>
                <w:rFonts w:ascii="宋体" w:hAnsi="宋体" w:hint="eastAsia"/>
                <w:szCs w:val="21"/>
              </w:rPr>
              <w:t>2、具有节能减排服务管理类系统得25分；</w:t>
            </w:r>
          </w:p>
          <w:p>
            <w:pPr>
              <w:spacing w:after="160"/>
              <w:rPr>
                <w:rFonts w:ascii="宋体" w:hAnsi="宋体"/>
                <w:szCs w:val="21"/>
              </w:rPr>
            </w:pPr>
            <w:r>
              <w:rPr>
                <w:rFonts w:ascii="宋体" w:hAnsi="宋体" w:hint="eastAsia"/>
                <w:szCs w:val="21"/>
              </w:rPr>
              <w:t>3、具有垃圾分类服务管理类系统得25分。</w:t>
            </w:r>
          </w:p>
          <w:p>
            <w:pPr>
              <w:spacing w:after="160"/>
              <w:rPr>
                <w:rFonts w:ascii="宋体" w:hAnsi="宋体"/>
                <w:szCs w:val="21"/>
              </w:rPr>
            </w:pPr>
            <w:r>
              <w:rPr>
                <w:rFonts w:ascii="宋体" w:hAnsi="宋体" w:hint="eastAsia"/>
                <w:szCs w:val="21"/>
              </w:rPr>
              <w:t>以上累计得分，最高得100分。</w:t>
            </w:r>
          </w:p>
          <w:p>
            <w:pPr>
              <w:spacing w:after="160"/>
              <w:rPr>
                <w:rFonts w:ascii="宋体" w:hAnsi="宋体"/>
                <w:szCs w:val="21"/>
              </w:rPr>
            </w:pPr>
            <w:r>
              <w:rPr>
                <w:rFonts w:ascii="宋体" w:hAnsi="宋体" w:hint="eastAsia"/>
                <w:szCs w:val="21"/>
              </w:rPr>
              <w:t>（二）评分依据:</w:t>
            </w:r>
          </w:p>
          <w:p>
            <w:pPr>
              <w:spacing w:after="160"/>
              <w:rPr>
                <w:rFonts w:ascii="宋体" w:hAnsi="宋体"/>
                <w:szCs w:val="21"/>
              </w:rPr>
            </w:pPr>
            <w:r>
              <w:rPr>
                <w:rFonts w:ascii="宋体" w:hAnsi="宋体" w:hint="eastAsia"/>
                <w:szCs w:val="21"/>
              </w:rPr>
              <w:t>1.要求提供有效的产权（专利）证书等证明材料作为得分依据。</w:t>
            </w:r>
          </w:p>
          <w:p>
            <w:pPr>
              <w:spacing w:after="160"/>
              <w:rPr>
                <w:szCs w:val="21"/>
              </w:rPr>
            </w:pPr>
            <w:r>
              <w:rPr>
                <w:rFonts w:ascii="宋体" w:hAnsi="宋体" w:hint="eastAsia"/>
                <w:szCs w:val="21"/>
              </w:rPr>
              <w:t>2.以上资料均要求提供扫描件（或官方网站截图），原件备查。</w:t>
            </w:r>
            <w:r>
              <w:rPr>
                <w:szCs w:val="21"/>
              </w:rPr>
              <w:t>评分中出现无证明资料或专家无法凭所提供资料判断是否得分的情况，一律作不得分处理。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cs="宋体"/>
                <w:szCs w:val="21"/>
              </w:rPr>
            </w:pPr>
            <w:r>
              <w:rPr>
                <w:rFonts w:ascii="宋体" w:hAnsi="宋体"/>
                <w:szCs w:val="21"/>
              </w:rPr>
              <w:t>5</w:t>
            </w:r>
          </w:p>
        </w:tc>
        <w:tc>
          <w:tcPr>
            <w:tcW w:w="1129" w:type="dxa"/>
            <w:vAlign w:val="center"/>
          </w:tcPr>
          <w:p>
            <w:pPr>
              <w:wordWrap w:val="0"/>
              <w:jc w:val="center"/>
              <w:rPr>
                <w:rFonts w:ascii="宋体" w:hAnsi="宋体" w:cs="宋体"/>
                <w:szCs w:val="21"/>
              </w:rPr>
            </w:pPr>
            <w:r>
              <w:rPr>
                <w:rFonts w:ascii="宋体" w:hAnsi="宋体" w:hint="eastAsia"/>
                <w:szCs w:val="21"/>
              </w:rPr>
              <w:t>服务网点</w:t>
            </w:r>
          </w:p>
        </w:tc>
        <w:tc>
          <w:tcPr>
            <w:tcW w:w="891" w:type="dxa"/>
            <w:vAlign w:val="center"/>
          </w:tcPr>
          <w:p>
            <w:pPr>
              <w:wordWrap w:val="0"/>
              <w:jc w:val="center"/>
              <w:rPr>
                <w:rFonts w:ascii="宋体" w:hAnsi="宋体" w:cs="宋体"/>
                <w:szCs w:val="21"/>
              </w:rPr>
            </w:pPr>
            <w:r>
              <w:rPr>
                <w:rFonts w:ascii="宋体" w:hAnsi="宋体" w:hint="eastAsia"/>
                <w:szCs w:val="21"/>
              </w:rPr>
              <w:t>3</w:t>
            </w:r>
          </w:p>
        </w:tc>
        <w:tc>
          <w:tcPr>
            <w:tcW w:w="5701" w:type="dxa"/>
          </w:tcPr>
          <w:p>
            <w:pPr>
              <w:spacing w:after="160" w:line="240" w:lineRule="exact"/>
              <w:jc w:val="left"/>
              <w:rPr>
                <w:szCs w:val="21"/>
              </w:rPr>
            </w:pPr>
            <w:r>
              <w:rPr>
                <w:rFonts w:hint="eastAsia"/>
                <w:szCs w:val="21"/>
              </w:rPr>
              <w:t>（一）评分内容：</w:t>
            </w:r>
          </w:p>
          <w:p>
            <w:pPr>
              <w:spacing w:after="160" w:line="240" w:lineRule="exact"/>
              <w:jc w:val="left"/>
              <w:rPr>
                <w:szCs w:val="21"/>
              </w:rPr>
            </w:pPr>
            <w:r>
              <w:rPr>
                <w:rFonts w:hint="eastAsia"/>
                <w:szCs w:val="21"/>
              </w:rPr>
              <w:t>供应商承诺中标后提供本地经营（服务）网点的，得100分。</w:t>
            </w:r>
          </w:p>
          <w:p>
            <w:pPr>
              <w:spacing w:after="160" w:line="240" w:lineRule="exact"/>
              <w:jc w:val="left"/>
              <w:rPr>
                <w:szCs w:val="21"/>
              </w:rPr>
            </w:pPr>
            <w:r>
              <w:rPr>
                <w:rFonts w:hint="eastAsia"/>
                <w:szCs w:val="21"/>
              </w:rPr>
              <w:t>（二）评分依据:</w:t>
            </w:r>
          </w:p>
          <w:p>
            <w:pPr>
              <w:spacing w:after="160" w:line="240" w:lineRule="exact"/>
              <w:jc w:val="left"/>
              <w:rPr>
                <w:rFonts w:ascii="宋体" w:hAnsi="宋体"/>
                <w:szCs w:val="21"/>
              </w:rPr>
            </w:pPr>
            <w:r>
              <w:rPr>
                <w:rFonts w:hint="eastAsia"/>
                <w:szCs w:val="21"/>
              </w:rPr>
              <w:t>要求提供承诺函（格式详见采购文件投标文件正文（信息公开部分）-服务网点-承诺函）作为得分依据，未按采购文件要求提供承诺函的不得分。</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tcPr>
          <w:p>
            <w:pPr>
              <w:wordWrap w:val="0"/>
              <w:jc w:val="center"/>
              <w:rPr>
                <w:rFonts w:ascii="宋体" w:hAnsi="宋体" w:cs="宋体"/>
                <w:b/>
                <w:bCs/>
                <w:color w:val="0000FF"/>
                <w:sz w:val="24"/>
              </w:rPr>
            </w:pPr>
            <w:r>
              <w:rPr>
                <w:b/>
                <w:bCs/>
                <w:color w:val="0000FF"/>
              </w:rPr>
              <w:t>4</w:t>
            </w:r>
          </w:p>
        </w:tc>
        <w:tc>
          <w:tcPr>
            <w:tcW w:w="2695" w:type="dxa"/>
            <w:gridSpan w:val="3"/>
          </w:tcPr>
          <w:p>
            <w:pPr>
              <w:wordWrap w:val="0"/>
              <w:jc w:val="center"/>
              <w:rPr>
                <w:rFonts w:ascii="宋体" w:hAnsi="宋体" w:cs="宋体"/>
                <w:b/>
                <w:bCs/>
                <w:color w:val="0000FF"/>
                <w:sz w:val="24"/>
              </w:rPr>
            </w:pPr>
            <w:r>
              <w:rPr>
                <w:b/>
                <w:bCs/>
                <w:color w:val="0000FF"/>
              </w:rPr>
              <w:t>诚信情况</w:t>
            </w:r>
          </w:p>
        </w:tc>
        <w:tc>
          <w:tcPr>
            <w:tcW w:w="5701" w:type="dxa"/>
          </w:tcPr>
          <w:p>
            <w:pPr>
              <w:wordWrap w:val="0"/>
              <w:jc w:val="center"/>
              <w:rPr>
                <w:rFonts w:ascii="宋体" w:hAnsi="宋体" w:cs="宋体"/>
                <w:b/>
                <w:bCs/>
                <w:color w:val="0000FF"/>
                <w:sz w:val="24"/>
              </w:rPr>
            </w:pPr>
            <w:r>
              <w:rPr>
                <w:b/>
                <w:bCs/>
                <w:color w:val="0000FF"/>
              </w:rPr>
              <w:t>5</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pPr>
              <w:rPr>
                <w:rFonts w:ascii="宋体" w:hAnsi="宋体" w:cs="宋体"/>
                <w:b/>
                <w:bCs/>
                <w:color w:val="0000FF"/>
                <w:sz w:val="24"/>
              </w:rPr>
            </w:pPr>
          </w:p>
        </w:tc>
        <w:tc>
          <w:tcPr>
            <w:tcW w:w="675" w:type="dxa"/>
            <w:shd w:val="clear" w:color="auto" w:fill="E6EFFA"/>
            <w:vAlign w:val="center"/>
          </w:tcPr>
          <w:p>
            <w:pPr>
              <w:wordWrap w:val="0"/>
              <w:jc w:val="center"/>
              <w:rPr>
                <w:rFonts w:ascii="宋体" w:hAnsi="宋体" w:cs="宋体"/>
                <w:szCs w:val="21"/>
              </w:rPr>
            </w:pPr>
            <w:r>
              <w:rPr>
                <w:szCs w:val="21"/>
              </w:rPr>
              <w:t>序号</w:t>
            </w:r>
          </w:p>
        </w:tc>
        <w:tc>
          <w:tcPr>
            <w:tcW w:w="1129" w:type="dxa"/>
            <w:shd w:val="clear" w:color="auto" w:fill="E6EFFA"/>
            <w:vAlign w:val="center"/>
          </w:tcPr>
          <w:p>
            <w:pPr>
              <w:wordWrap w:val="0"/>
              <w:jc w:val="center"/>
              <w:rPr>
                <w:rFonts w:ascii="宋体" w:hAnsi="宋体" w:cs="宋体"/>
                <w:szCs w:val="21"/>
              </w:rPr>
            </w:pPr>
            <w:r>
              <w:rPr>
                <w:rFonts w:hint="eastAsia"/>
                <w:szCs w:val="21"/>
              </w:rPr>
              <w:t>评审因素</w:t>
            </w:r>
          </w:p>
        </w:tc>
        <w:tc>
          <w:tcPr>
            <w:tcW w:w="891" w:type="dxa"/>
            <w:shd w:val="clear" w:color="auto" w:fill="E6EFFA"/>
            <w:vAlign w:val="center"/>
          </w:tcPr>
          <w:p>
            <w:pPr>
              <w:wordWrap w:val="0"/>
              <w:jc w:val="center"/>
              <w:rPr>
                <w:rFonts w:ascii="宋体" w:hAnsi="宋体" w:cs="宋体"/>
                <w:szCs w:val="21"/>
              </w:rPr>
            </w:pPr>
            <w:r>
              <w:rPr>
                <w:szCs w:val="21"/>
              </w:rPr>
              <w:t>权重(%)</w:t>
            </w:r>
          </w:p>
        </w:tc>
        <w:tc>
          <w:tcPr>
            <w:tcW w:w="5701" w:type="dxa"/>
            <w:shd w:val="clear" w:color="auto" w:fill="E6EFFA"/>
            <w:vAlign w:val="center"/>
          </w:tcPr>
          <w:p>
            <w:pPr>
              <w:wordWrap w:val="0"/>
              <w:jc w:val="center"/>
              <w:rPr>
                <w:rFonts w:ascii="宋体" w:hAnsi="宋体" w:cs="宋体"/>
                <w:szCs w:val="21"/>
              </w:rPr>
            </w:pPr>
            <w:r>
              <w:rPr>
                <w:szCs w:val="21"/>
              </w:rPr>
              <w:t>评分准则</w:t>
            </w:r>
          </w:p>
        </w:tc>
      </w:tr>
      <w:tr>
        <w:tblPrEx>
          <w:tblW w:w="9072" w:type="dxa"/>
          <w:jc w:val="center"/>
          <w:tblCellSpacing w:w="0" w:type="dxa"/>
          <w:tblCellMar>
            <w:top w:w="20" w:type="dxa"/>
            <w:left w:w="108" w:type="dxa"/>
            <w:bottom w:w="20" w:type="dxa"/>
            <w:right w:w="108" w:type="dxa"/>
          </w:tblCellMar>
        </w:tblPrEx>
        <w:trPr>
          <w:tblCellSpacing w:w="0" w:type="dxa"/>
          <w:jc w:val="center"/>
        </w:trPr>
        <w:tc>
          <w:tcPr>
            <w:tcW w:w="676" w:type="dxa"/>
            <w:vMerge/>
            <w:vAlign w:val="center"/>
          </w:tcPr>
          <w:p>
            <w:pPr>
              <w:rPr>
                <w:rFonts w:ascii="宋体" w:hAnsi="宋体" w:cs="宋体"/>
                <w:b/>
                <w:bCs/>
                <w:color w:val="0000FF"/>
                <w:sz w:val="24"/>
              </w:rPr>
            </w:pPr>
          </w:p>
        </w:tc>
        <w:tc>
          <w:tcPr>
            <w:tcW w:w="675" w:type="dxa"/>
            <w:vAlign w:val="center"/>
          </w:tcPr>
          <w:p>
            <w:pPr>
              <w:wordWrap w:val="0"/>
              <w:jc w:val="center"/>
              <w:rPr>
                <w:rFonts w:ascii="宋体" w:hAnsi="宋体"/>
                <w:szCs w:val="21"/>
              </w:rPr>
            </w:pPr>
            <w:r>
              <w:rPr>
                <w:rFonts w:ascii="宋体" w:hAnsi="宋体"/>
                <w:szCs w:val="21"/>
              </w:rPr>
              <w:t>1</w:t>
            </w:r>
          </w:p>
        </w:tc>
        <w:tc>
          <w:tcPr>
            <w:tcW w:w="1129" w:type="dxa"/>
            <w:vAlign w:val="center"/>
          </w:tcPr>
          <w:p>
            <w:pPr>
              <w:wordWrap w:val="0"/>
              <w:jc w:val="center"/>
              <w:rPr>
                <w:rFonts w:ascii="宋体" w:hAnsi="宋体"/>
                <w:szCs w:val="21"/>
              </w:rPr>
            </w:pPr>
            <w:r>
              <w:rPr>
                <w:rFonts w:ascii="宋体" w:hAnsi="宋体"/>
                <w:szCs w:val="21"/>
              </w:rPr>
              <w:t>诚信情况</w:t>
            </w:r>
          </w:p>
        </w:tc>
        <w:tc>
          <w:tcPr>
            <w:tcW w:w="891" w:type="dxa"/>
            <w:vAlign w:val="center"/>
          </w:tcPr>
          <w:p>
            <w:pPr>
              <w:wordWrap w:val="0"/>
              <w:jc w:val="center"/>
              <w:rPr>
                <w:rFonts w:ascii="宋体" w:hAnsi="宋体" w:cs="宋体"/>
                <w:szCs w:val="21"/>
              </w:rPr>
            </w:pPr>
            <w:r>
              <w:rPr>
                <w:szCs w:val="21"/>
              </w:rPr>
              <w:t>5</w:t>
            </w:r>
          </w:p>
        </w:tc>
        <w:tc>
          <w:tcPr>
            <w:tcW w:w="5701" w:type="dxa"/>
          </w:tcPr>
          <w:p>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1"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23年）</w:t>
      </w:r>
      <w:bookmarkEnd w:id="1"/>
    </w:p>
    <w:p>
      <w:pPr>
        <w:ind w:firstLine="3150" w:firstLineChars="1500"/>
        <w:rPr>
          <w:rFonts w:ascii="宋体" w:hAnsi="宋体"/>
          <w:color w:val="FF0000"/>
          <w:szCs w:val="21"/>
        </w:rPr>
      </w:pPr>
      <w:r>
        <w:rPr>
          <w:rFonts w:hint="eastAsia"/>
        </w:rPr>
        <w:br w:type="page"/>
      </w:r>
      <w:r>
        <w:rPr>
          <w:rFonts w:ascii="宋体" w:eastAsia="黑体" w:hAnsi="宋体" w:hint="eastAsia"/>
          <w:b/>
          <w:bCs/>
          <w:color w:val="FF0000"/>
          <w:kern w:val="44"/>
          <w:sz w:val="28"/>
          <w:szCs w:val="44"/>
        </w:rPr>
        <w:t>警示条款</w:t>
      </w:r>
    </w:p>
    <w:p>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20" w:firstLineChars="200"/>
        <w:rPr>
          <w:rFonts w:ascii="宋体" w:hAnsi="宋体"/>
          <w:color w:val="FF0000"/>
          <w:sz w:val="20"/>
          <w:szCs w:val="20"/>
        </w:rPr>
      </w:pPr>
      <w:r>
        <w:rPr>
          <w:rFonts w:ascii="宋体" w:hAnsi="宋体" w:hint="eastAsia"/>
          <w:color w:val="FF0000"/>
          <w:sz w:val="20"/>
          <w:szCs w:val="20"/>
        </w:rPr>
        <w:t>（六）恶意投诉的；</w:t>
      </w:r>
    </w:p>
    <w:p>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20" w:firstLineChars="200"/>
        <w:rPr>
          <w:rFonts w:ascii="宋体" w:hAnsi="宋体"/>
          <w:color w:val="FF0000"/>
          <w:sz w:val="20"/>
          <w:szCs w:val="20"/>
        </w:rPr>
      </w:pPr>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ind w:firstLine="420" w:firstLineChars="200"/>
        <w:rPr>
          <w:rFonts w:ascii="宋体" w:hAnsi="宋体"/>
          <w:color w:val="FF0000"/>
          <w:sz w:val="20"/>
          <w:szCs w:val="20"/>
        </w:rPr>
      </w:pPr>
      <w:r>
        <w:rPr>
          <w:rFonts w:ascii="宋体" w:hAnsi="宋体" w:hint="eastAsia"/>
          <w:color w:val="FF0000"/>
          <w:sz w:val="20"/>
          <w:szCs w:val="20"/>
        </w:rPr>
        <w:t>注：该风险知悉确认书用于对供应商违法行为的警示，不作为供应商资格性审查及符合性审查条件。</w:t>
      </w:r>
    </w:p>
    <w:p>
      <w:pPr>
        <w:widowControl/>
        <w:jc w:val="left"/>
        <w:rPr>
          <w:rFonts w:ascii="宋体" w:eastAsia="黑体" w:hAnsi="宋体"/>
          <w:b/>
          <w:bCs/>
          <w:kern w:val="44"/>
          <w:sz w:val="28"/>
          <w:szCs w:val="44"/>
        </w:rPr>
      </w:pPr>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firstLine="630" w:leftChars="300" w:firstLineChars="300"/>
        <w:rPr>
          <w:rFonts w:ascii="宋体" w:hAnsi="宋体"/>
          <w:szCs w:val="21"/>
        </w:rPr>
      </w:pPr>
      <w:r>
        <w:rPr>
          <w:rFonts w:ascii="宋体" w:hAnsi="宋体" w:hint="eastAsia"/>
          <w:szCs w:val="21"/>
        </w:rPr>
        <w:t>第一章  招标公告</w:t>
      </w:r>
    </w:p>
    <w:p>
      <w:pPr>
        <w:ind w:left="630" w:firstLine="630" w:leftChars="300" w:firstLineChars="300"/>
        <w:rPr>
          <w:rFonts w:ascii="宋体" w:hAnsi="宋体"/>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pPr>
        <w:ind w:left="630" w:firstLine="630" w:leftChars="300" w:firstLineChars="300"/>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pPr>
        <w:ind w:left="630" w:firstLine="630" w:leftChars="300" w:firstLineChars="300"/>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pPr>
        <w:ind w:left="630" w:firstLine="630" w:leftChars="300" w:firstLineChars="30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630" w:firstLine="412" w:leftChars="300" w:firstLineChars="196"/>
        <w:rPr>
          <w:rFonts w:ascii="宋体" w:hAnsi="宋体"/>
          <w:szCs w:val="21"/>
        </w:rPr>
      </w:pPr>
      <w:r>
        <w:rPr>
          <w:rFonts w:ascii="宋体" w:hAnsi="宋体" w:hint="eastAsia"/>
          <w:szCs w:val="21"/>
        </w:rPr>
        <w:t>第一章  总则</w:t>
      </w:r>
    </w:p>
    <w:p>
      <w:pPr>
        <w:ind w:left="630" w:firstLine="412" w:leftChars="300" w:firstLineChars="196"/>
        <w:rPr>
          <w:rFonts w:ascii="宋体" w:hAnsi="宋体"/>
          <w:szCs w:val="21"/>
        </w:rPr>
      </w:pPr>
      <w:r>
        <w:rPr>
          <w:rFonts w:ascii="宋体" w:hAnsi="宋体" w:hint="eastAsia"/>
          <w:szCs w:val="21"/>
        </w:rPr>
        <w:t>第二章  招标文件</w:t>
      </w:r>
    </w:p>
    <w:p>
      <w:pPr>
        <w:ind w:left="630" w:firstLine="412" w:leftChars="300" w:firstLineChars="196"/>
        <w:rPr>
          <w:rFonts w:ascii="宋体" w:hAnsi="宋体"/>
          <w:szCs w:val="21"/>
        </w:rPr>
      </w:pPr>
      <w:r>
        <w:rPr>
          <w:rFonts w:ascii="宋体" w:hAnsi="宋体" w:hint="eastAsia"/>
          <w:szCs w:val="21"/>
        </w:rPr>
        <w:t>第三章  投标文件的编制</w:t>
      </w:r>
    </w:p>
    <w:p>
      <w:pPr>
        <w:ind w:left="630" w:firstLine="412" w:leftChars="300" w:firstLineChars="196"/>
        <w:rPr>
          <w:rFonts w:ascii="宋体" w:hAnsi="宋体"/>
          <w:szCs w:val="21"/>
        </w:rPr>
      </w:pPr>
      <w:r>
        <w:rPr>
          <w:rFonts w:ascii="宋体" w:hAnsi="宋体" w:hint="eastAsia"/>
          <w:szCs w:val="21"/>
        </w:rPr>
        <w:t>第四章  投标文件的递交</w:t>
      </w:r>
    </w:p>
    <w:p>
      <w:pPr>
        <w:ind w:left="630" w:firstLine="412" w:leftChars="300" w:firstLineChars="196"/>
        <w:rPr>
          <w:rFonts w:ascii="宋体" w:hAnsi="宋体"/>
          <w:szCs w:val="21"/>
        </w:rPr>
      </w:pPr>
      <w:r>
        <w:rPr>
          <w:rFonts w:ascii="宋体" w:hAnsi="宋体" w:hint="eastAsia"/>
          <w:szCs w:val="21"/>
        </w:rPr>
        <w:t>第五章  开标</w:t>
      </w:r>
    </w:p>
    <w:p>
      <w:pPr>
        <w:ind w:left="630" w:firstLine="412" w:leftChars="300" w:firstLineChars="196"/>
        <w:rPr>
          <w:rFonts w:ascii="宋体" w:hAnsi="宋体"/>
          <w:szCs w:val="21"/>
        </w:rPr>
      </w:pPr>
      <w:r>
        <w:rPr>
          <w:rFonts w:ascii="宋体" w:hAnsi="宋体" w:hint="eastAsia"/>
          <w:szCs w:val="21"/>
        </w:rPr>
        <w:t>第六章  评审要求</w:t>
      </w:r>
    </w:p>
    <w:p>
      <w:pPr>
        <w:ind w:left="630" w:firstLine="412" w:leftChars="300" w:firstLineChars="196"/>
        <w:rPr>
          <w:rFonts w:ascii="宋体" w:hAnsi="宋体"/>
          <w:szCs w:val="21"/>
        </w:rPr>
      </w:pPr>
      <w:r>
        <w:rPr>
          <w:rFonts w:ascii="宋体" w:hAnsi="宋体" w:hint="eastAsia"/>
          <w:szCs w:val="21"/>
        </w:rPr>
        <w:t>第七章  评审程序及评审方法</w:t>
      </w:r>
    </w:p>
    <w:p>
      <w:pPr>
        <w:ind w:left="630" w:firstLine="412" w:leftChars="300" w:firstLineChars="196"/>
        <w:rPr>
          <w:rFonts w:ascii="宋体" w:hAnsi="宋体"/>
          <w:szCs w:val="21"/>
        </w:rPr>
      </w:pPr>
      <w:r>
        <w:rPr>
          <w:rFonts w:ascii="宋体" w:hAnsi="宋体" w:hint="eastAsia"/>
          <w:szCs w:val="21"/>
        </w:rPr>
        <w:t>第八章  定标及公示</w:t>
      </w:r>
    </w:p>
    <w:p>
      <w:pPr>
        <w:ind w:left="630" w:firstLine="412" w:leftChars="300" w:firstLineChars="196"/>
        <w:rPr>
          <w:rFonts w:ascii="宋体" w:hAnsi="宋体"/>
          <w:szCs w:val="21"/>
        </w:rPr>
      </w:pPr>
      <w:r>
        <w:rPr>
          <w:rFonts w:ascii="宋体" w:hAnsi="宋体" w:hint="eastAsia"/>
          <w:szCs w:val="21"/>
        </w:rPr>
        <w:t>第九章  公开招标失败的后续处理</w:t>
      </w:r>
    </w:p>
    <w:p>
      <w:pPr>
        <w:ind w:left="630" w:firstLine="412" w:leftChars="300" w:firstLineChars="196"/>
        <w:rPr>
          <w:rFonts w:ascii="宋体" w:hAnsi="宋体"/>
          <w:szCs w:val="21"/>
        </w:rPr>
      </w:pPr>
      <w:r>
        <w:rPr>
          <w:rFonts w:ascii="宋体" w:hAnsi="宋体" w:hint="eastAsia"/>
          <w:szCs w:val="21"/>
        </w:rPr>
        <w:t>第十章  合同的授予与备案</w:t>
      </w:r>
    </w:p>
    <w:p>
      <w:pPr>
        <w:ind w:firstLine="1050" w:firstLineChars="500"/>
        <w:outlineLvl w:val="0"/>
        <w:rPr>
          <w:b/>
          <w:sz w:val="24"/>
        </w:rPr>
      </w:pPr>
      <w:r>
        <w:rPr>
          <w:rFonts w:ascii="宋体" w:hAnsi="宋体" w:hint="eastAsia"/>
          <w:szCs w:val="21"/>
        </w:rPr>
        <w:t>第十一章  质疑处理</w:t>
      </w:r>
    </w:p>
    <w:p>
      <w:pPr>
        <w:spacing w:line="360" w:lineRule="auto"/>
        <w:ind w:firstLine="420" w:firstLineChars="200"/>
        <w:jc w:val="left"/>
        <w:rPr>
          <w:rFonts w:ascii="宋体" w:hAnsi="宋体"/>
          <w:szCs w:val="21"/>
        </w:rPr>
      </w:pPr>
    </w:p>
    <w:p>
      <w:pPr>
        <w:pStyle w:val="Heading1"/>
        <w:rPr>
          <w:sz w:val="24"/>
        </w:rPr>
      </w:pPr>
      <w:r>
        <w:br w:type="page"/>
      </w:r>
      <w:bookmarkStart w:id="3" w:name="bt合同格式"/>
      <w:bookmarkEnd w:id="3"/>
      <w:bookmarkStart w:id="4" w:name="bt其他资料2"/>
      <w:bookmarkEnd w:id="4"/>
      <w:bookmarkStart w:id="5" w:name="bt技术标投标文件格式"/>
      <w:bookmarkEnd w:id="5"/>
      <w:bookmarkStart w:id="6" w:name="bt合同条款"/>
      <w:bookmarkEnd w:id="6"/>
      <w:bookmarkStart w:id="7" w:name="合同格式"/>
      <w:bookmarkEnd w:id="7"/>
      <w:bookmarkStart w:id="8" w:name="bt投标报价汇总表"/>
      <w:bookmarkEnd w:id="8"/>
      <w:bookmarkStart w:id="9" w:name="bt其他资料由投标人自定"/>
      <w:bookmarkEnd w:id="9"/>
      <w:bookmarkStart w:id="10" w:name="bt投标函"/>
      <w:bookmarkEnd w:id="10"/>
      <w:bookmarkStart w:id="11" w:name="bt商务标投标文件格式"/>
      <w:bookmarkEnd w:id="11"/>
      <w:bookmarkStart w:id="12" w:name="bt投标人情况介绍"/>
      <w:bookmarkEnd w:id="12"/>
      <w:bookmarkStart w:id="13" w:name="bt合同条款及格式"/>
      <w:bookmarkEnd w:id="13"/>
      <w:bookmarkStart w:id="14" w:name="bt开标一览表"/>
      <w:bookmarkEnd w:id="14"/>
      <w:bookmarkStart w:id="15" w:name="bt本工程承诺书"/>
      <w:bookmarkEnd w:id="15"/>
      <w:bookmarkStart w:id="16" w:name="bt项目管理班子配备情况"/>
      <w:bookmarkEnd w:id="16"/>
      <w:bookmarkStart w:id="17" w:name="bt投标文件签署授权委托书"/>
      <w:bookmarkEnd w:id="17"/>
      <w:bookmarkStart w:id="18" w:name="bt投标人须知"/>
      <w:bookmarkEnd w:id="18"/>
      <w:bookmarkStart w:id="19" w:name="bt说明"/>
      <w:bookmarkEnd w:id="19"/>
      <w:r>
        <w:rPr>
          <w:rFonts w:hint="eastAsia"/>
        </w:rPr>
        <w:t>第一册专用条款</w:t>
      </w:r>
    </w:p>
    <w:p>
      <w:pPr>
        <w:pStyle w:val="Heading2"/>
      </w:pPr>
      <w:r>
        <w:rPr>
          <w:rFonts w:hint="eastAsia"/>
        </w:rPr>
        <w:t xml:space="preserve">第一章  招标公告  </w:t>
      </w:r>
    </w:p>
    <w:p/>
    <w:p>
      <w:pPr>
        <w:spacing w:line="360" w:lineRule="auto"/>
        <w:rPr>
          <w:rFonts w:ascii="宋体" w:hAnsi="宋体" w:cs="宋体"/>
          <w:b/>
          <w:bCs/>
          <w:kern w:val="0"/>
          <w:szCs w:val="21"/>
        </w:rPr>
      </w:pPr>
      <w:r>
        <w:rPr>
          <w:rFonts w:ascii="宋体" w:hAnsi="宋体" w:cs="宋体" w:hint="eastAsia"/>
          <w:b/>
          <w:bCs/>
          <w:kern w:val="0"/>
          <w:szCs w:val="21"/>
        </w:rPr>
        <w:t>申请人的资格要求：</w:t>
      </w:r>
    </w:p>
    <w:p>
      <w:pPr>
        <w:ind w:firstLine="630" w:firstLineChars="30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具有独立法人资格或是具有独立承担民事责任能力的其它组织（提供营业执照或事业单位法人证书等证明资料扫描件，原件备查）；</w:t>
      </w:r>
    </w:p>
    <w:p>
      <w:pPr>
        <w:ind w:firstLine="630" w:firstLineChars="300"/>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color w:val="FF0000"/>
          <w:kern w:val="0"/>
          <w:szCs w:val="21"/>
        </w:rPr>
        <w:t>本项目不接受联合体投标，不接受投标人选用进口产品参与投标（由供应商在《政府采购投标及履约承诺函》中作出声明）；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具备《中华人民共和国政府采购法》第二十二条的条件（由供应商在《政府采购投标及履约承诺函》中作出声明）；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未被列入失信被执行人、重大税收违法案件当事人名单（重大税收违法失信主体）、政府采购严重违法失信行为记录名单（由供应商在《政府采购投标及履约承诺函》中作出声明）；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420" w:firstLineChars="200"/>
        <w:rPr>
          <w:rFonts w:ascii="宋体" w:hAnsi="宋体" w:cs="宋体"/>
          <w:kern w:val="0"/>
          <w:szCs w:val="21"/>
        </w:rPr>
      </w:pPr>
      <w:r>
        <w:rPr>
          <w:rFonts w:hint="eastAsia"/>
        </w:rPr>
        <w:t>7.本项目属于专门面向中小微企业采购：根据《财政部 工业和信息化部关于印发&lt;政府采购促进中小企业发展管理办法&gt;的通知》（财库〔2020〕46号）的规定在《中小企业声明函、残疾人福利性单位声明函及监狱企业声明函》中作出声明，未提供声明函或声明内容不满足要求的，做资格审查不通过处理）。</w:t>
      </w:r>
    </w:p>
    <w:p>
      <w:pPr>
        <w:ind w:firstLine="420" w:firstLineChars="2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ind w:firstLine="420" w:firstLineChars="200"/>
        <w:rPr>
          <w:rFonts w:ascii="宋体" w:hAnsi="宋体" w:cs="宋体"/>
          <w:color w:val="FF0000"/>
          <w:kern w:val="0"/>
          <w:szCs w:val="21"/>
        </w:rPr>
      </w:pPr>
    </w:p>
    <w:p>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r>
        <w:rPr>
          <w:rFonts w:hint="eastAsia"/>
        </w:rPr>
        <w:br w:type="page"/>
      </w:r>
    </w:p>
    <w:p>
      <w:pPr>
        <w:pStyle w:val="Heading2"/>
        <w:rPr>
          <w:sz w:val="28"/>
          <w:szCs w:val="28"/>
        </w:rPr>
      </w:pPr>
      <w:r>
        <w:rPr>
          <w:rFonts w:hint="eastAsia"/>
          <w:sz w:val="28"/>
          <w:szCs w:val="28"/>
        </w:rPr>
        <w:t>第二章 对通用条款的补充内容及其他关键信息</w:t>
      </w:r>
    </w:p>
    <w:p>
      <w:pPr>
        <w:pStyle w:val="Heading2"/>
        <w:spacing w:before="120" w:beforeLines="50" w:after="120" w:afterLines="50"/>
        <w:rPr>
          <w:sz w:val="28"/>
          <w:szCs w:val="28"/>
        </w:rPr>
      </w:pPr>
      <w:bookmarkStart w:id="20" w:name="_Toc60631620"/>
      <w:bookmarkStart w:id="21" w:name="_Toc100052364"/>
      <w:bookmarkStart w:id="22" w:name="_Toc60560625"/>
      <w:bookmarkStart w:id="23" w:name="_Toc73517639"/>
      <w:bookmarkStart w:id="24" w:name="_Toc101074876"/>
      <w:bookmarkStart w:id="25" w:name="_Toc73521547"/>
      <w:bookmarkStart w:id="26" w:name="_Toc73518117"/>
      <w:bookmarkStart w:id="27" w:name="_Toc73521635"/>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20"/>
            <w:bookmarkEnd w:id="21"/>
            <w:bookmarkEnd w:id="22"/>
            <w:bookmarkEnd w:id="23"/>
            <w:bookmarkEnd w:id="24"/>
            <w:bookmarkEnd w:id="25"/>
            <w:bookmarkEnd w:id="26"/>
            <w:bookmarkEnd w:id="27"/>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ascii="宋体" w:hAnsi="宋体" w:hint="eastAsia"/>
              </w:rPr>
              <w:t>深圳市残疾人联合会</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不晚于投标截止日三日前（详见招标公告），投标人有义务在招标期间在政府集中采购机构网站浏览与本项目有关的澄清和修改信息</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120个日历日</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w:t>
            </w:r>
            <w:r>
              <w:rPr>
                <w:rFonts w:ascii="宋体" w:hAnsi="宋体"/>
              </w:rPr>
              <w:t>1</w:t>
            </w:r>
            <w:r>
              <w:rPr>
                <w:rFonts w:ascii="宋体" w:hAnsi="宋体" w:hint="eastAsia"/>
              </w:rPr>
              <w:t>00MB</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28" w:name="_Hlk71664860"/>
            <w:r>
              <w:rPr>
                <w:rFonts w:ascii="宋体" w:hAnsi="宋体" w:hint="eastAsia"/>
              </w:rPr>
              <w:t>样品、演示、方案讲解</w:t>
            </w:r>
            <w:bookmarkEnd w:id="28"/>
          </w:p>
        </w:tc>
        <w:tc>
          <w:tcPr>
            <w:tcW w:w="4980" w:type="dxa"/>
            <w:vAlign w:val="center"/>
          </w:tcPr>
          <w:p>
            <w:pPr>
              <w:rPr>
                <w:rFonts w:ascii="宋体" w:eastAsia="宋体" w:hAnsi="宋体" w:hint="eastAsia"/>
                <w:lang w:eastAsia="zh-CN"/>
              </w:rPr>
            </w:pPr>
            <w:r>
              <w:rPr>
                <w:rFonts w:ascii="宋体" w:hAnsi="宋体" w:hint="eastAsia"/>
                <w:lang w:val="en-US" w:eastAsia="zh-CN"/>
              </w:rPr>
              <w:t>无</w:t>
            </w:r>
          </w:p>
        </w:tc>
      </w:tr>
      <w:tr>
        <w:tblPrEx>
          <w:tblW w:w="8367" w:type="dxa"/>
          <w:jc w:val="center"/>
          <w:tblCellMar>
            <w:top w:w="0" w:type="dxa"/>
            <w:left w:w="108" w:type="dxa"/>
            <w:bottom w:w="0" w:type="dxa"/>
            <w:right w:w="108" w:type="dxa"/>
          </w:tblCellMar>
        </w:tblPrEx>
        <w:trPr>
          <w:cantSplit/>
          <w:trHeight w:val="223"/>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left"/>
              <w:rPr>
                <w:rFonts w:ascii="宋体" w:hAnsi="宋体"/>
              </w:rPr>
            </w:pPr>
            <w:r>
              <w:rPr>
                <w:rFonts w:ascii="宋体" w:hAnsi="宋体" w:hint="eastAsia"/>
              </w:rPr>
              <w:t>综合评分法</w:t>
            </w:r>
          </w:p>
        </w:tc>
      </w:tr>
      <w:tr>
        <w:tblPrEx>
          <w:tblW w:w="8367" w:type="dxa"/>
          <w:jc w:val="center"/>
          <w:tblCellMar>
            <w:top w:w="0" w:type="dxa"/>
            <w:left w:w="108" w:type="dxa"/>
            <w:bottom w:w="0" w:type="dxa"/>
            <w:right w:w="108" w:type="dxa"/>
          </w:tblCellMar>
        </w:tblPrEx>
        <w:trPr>
          <w:cantSplit/>
          <w:trHeight w:val="483"/>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left"/>
              <w:rPr>
                <w:szCs w:val="20"/>
              </w:rPr>
            </w:pPr>
            <w:r>
              <w:rPr>
                <w:rFonts w:ascii="宋体" w:hAnsi="宋体" w:hint="eastAsia"/>
              </w:rPr>
              <w:t>非评定分离</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履约担保</w:t>
            </w:r>
          </w:p>
        </w:tc>
        <w:tc>
          <w:tcPr>
            <w:tcW w:w="4980" w:type="dxa"/>
            <w:vAlign w:val="center"/>
          </w:tcPr>
          <w:p>
            <w:pPr>
              <w:jc w:val="left"/>
              <w:rPr>
                <w:rFonts w:ascii="宋体" w:hAnsi="宋体"/>
              </w:rPr>
            </w:pPr>
            <w:r>
              <w:rPr>
                <w:rFonts w:ascii="宋体" w:hAnsi="宋体" w:hint="eastAsia"/>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Heading2"/>
        <w:spacing w:before="120" w:beforeLines="50" w:after="120" w:afterLines="50"/>
        <w:rPr>
          <w:szCs w:val="24"/>
        </w:rPr>
      </w:pPr>
      <w:r>
        <w:rPr>
          <w:rFonts w:hint="eastAsia"/>
          <w:szCs w:val="24"/>
        </w:rPr>
        <w:t>二、其他关键信息</w:t>
      </w:r>
    </w:p>
    <w:p>
      <w:pPr>
        <w:ind w:firstLine="420" w:firstLineChars="200"/>
        <w:rPr>
          <w:b/>
          <w:bCs/>
        </w:rPr>
      </w:pPr>
      <w:r>
        <w:rPr>
          <w:rFonts w:hint="eastAsia"/>
          <w:b/>
          <w:bCs/>
        </w:rPr>
        <w:t>（一）与“对通用条款的补充内容”章节相关的事项</w:t>
      </w:r>
    </w:p>
    <w:p>
      <w:pPr>
        <w:ind w:firstLine="420" w:firstLineChars="200"/>
      </w:pPr>
      <w:bookmarkStart w:id="29" w:name="_Hlk72579465"/>
    </w:p>
    <w:p>
      <w:pPr>
        <w:jc w:val="center"/>
      </w:pPr>
      <w:r>
        <w:rPr>
          <w:rFonts w:hint="eastAsia"/>
          <w:b/>
        </w:rPr>
        <w:t>非评定分离项目</w:t>
      </w:r>
    </w:p>
    <w:tbl>
      <w:tblPr>
        <w:tblStyle w:val="TableGrid"/>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11"/>
        <w:gridCol w:w="4402"/>
      </w:tblGrid>
      <w:tr>
        <w:tblPrEx>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trPr>
        <w:tc>
          <w:tcPr>
            <w:tcW w:w="4211" w:type="dxa"/>
            <w:vAlign w:val="center"/>
          </w:tcPr>
          <w:p>
            <w:pPr>
              <w:jc w:val="center"/>
            </w:pPr>
            <w:r>
              <w:rPr>
                <w:rFonts w:hint="eastAsia"/>
              </w:rPr>
              <w:t>评标方法</w:t>
            </w:r>
          </w:p>
        </w:tc>
        <w:tc>
          <w:tcPr>
            <w:tcW w:w="4402" w:type="dxa"/>
            <w:vAlign w:val="center"/>
          </w:tcPr>
          <w:p>
            <w:pPr>
              <w:jc w:val="center"/>
            </w:pPr>
            <w:r>
              <w:rPr>
                <w:rFonts w:hint="eastAsia"/>
              </w:rPr>
              <w:t>综合评分法</w:t>
            </w:r>
          </w:p>
        </w:tc>
      </w:tr>
      <w:tr>
        <w:tblPrEx>
          <w:tblW w:w="8613" w:type="dxa"/>
          <w:tblInd w:w="0" w:type="dxa"/>
          <w:tblCellMar>
            <w:top w:w="0" w:type="dxa"/>
            <w:left w:w="108" w:type="dxa"/>
            <w:bottom w:w="0" w:type="dxa"/>
            <w:right w:w="108" w:type="dxa"/>
          </w:tblCellMar>
        </w:tblPrEx>
        <w:trPr>
          <w:trHeight w:val="70"/>
        </w:trPr>
        <w:tc>
          <w:tcPr>
            <w:tcW w:w="4211" w:type="dxa"/>
            <w:vAlign w:val="center"/>
          </w:tcPr>
          <w:p>
            <w:pPr>
              <w:jc w:val="center"/>
            </w:pPr>
            <w:r>
              <w:rPr>
                <w:rFonts w:hint="eastAsia"/>
              </w:rPr>
              <w:t>候选中标供应商数量</w:t>
            </w:r>
          </w:p>
        </w:tc>
        <w:tc>
          <w:tcPr>
            <w:tcW w:w="4402" w:type="dxa"/>
            <w:vAlign w:val="center"/>
          </w:tcPr>
          <w:p>
            <w:pPr>
              <w:jc w:val="center"/>
            </w:pPr>
            <w:r>
              <w:rPr>
                <w:rFonts w:hint="eastAsia"/>
              </w:rPr>
              <w:t>3</w:t>
            </w:r>
          </w:p>
        </w:tc>
      </w:tr>
      <w:tr>
        <w:tblPrEx>
          <w:tblW w:w="8613" w:type="dxa"/>
          <w:tblInd w:w="0" w:type="dxa"/>
          <w:tblCellMar>
            <w:top w:w="0" w:type="dxa"/>
            <w:left w:w="108" w:type="dxa"/>
            <w:bottom w:w="0" w:type="dxa"/>
            <w:right w:w="108" w:type="dxa"/>
          </w:tblCellMar>
        </w:tblPrEx>
        <w:trPr>
          <w:trHeight w:val="70"/>
        </w:trPr>
        <w:tc>
          <w:tcPr>
            <w:tcW w:w="4211" w:type="dxa"/>
            <w:vAlign w:val="center"/>
          </w:tcPr>
          <w:p>
            <w:pPr>
              <w:jc w:val="center"/>
            </w:pPr>
            <w:r>
              <w:rPr>
                <w:rFonts w:hint="eastAsia"/>
              </w:rPr>
              <w:t>中标供应商数量</w:t>
            </w:r>
          </w:p>
        </w:tc>
        <w:tc>
          <w:tcPr>
            <w:tcW w:w="4402" w:type="dxa"/>
            <w:vAlign w:val="center"/>
          </w:tcPr>
          <w:p>
            <w:pPr>
              <w:jc w:val="center"/>
            </w:pPr>
            <w:r>
              <w:rPr>
                <w:rFonts w:hint="eastAsia"/>
              </w:rPr>
              <w:t>1</w:t>
            </w:r>
          </w:p>
        </w:tc>
      </w:tr>
    </w:tbl>
    <w:p>
      <w:pPr>
        <w:rPr>
          <w:rFonts w:ascii="宋体" w:hAnsi="宋体"/>
          <w:szCs w:val="21"/>
        </w:rPr>
      </w:pPr>
    </w:p>
    <w:p>
      <w:pPr>
        <w:rPr>
          <w:rFonts w:ascii="宋体" w:hAnsi="宋体"/>
          <w:b/>
        </w:rPr>
      </w:pPr>
    </w:p>
    <w:p>
      <w:pPr>
        <w:ind w:firstLine="420" w:firstLineChars="200"/>
        <w:rPr>
          <w:b/>
          <w:bCs/>
        </w:rPr>
      </w:pPr>
      <w:bookmarkEnd w:id="29"/>
      <w:r>
        <w:rPr>
          <w:rFonts w:hint="eastAsia"/>
          <w:b/>
        </w:rPr>
        <w:t>（二）其他事项</w:t>
      </w:r>
    </w:p>
    <w:p>
      <w:pPr>
        <w:rPr>
          <w:rFonts w:ascii="宋体" w:hAnsi="宋体"/>
          <w:szCs w:val="21"/>
        </w:rPr>
      </w:pPr>
      <w:r>
        <w:rPr>
          <w:rFonts w:ascii="宋体" w:hAnsi="宋体" w:hint="eastAsia"/>
          <w:szCs w:val="21"/>
        </w:rPr>
        <w:t>1、关于专门面向中小企业采购的说明</w:t>
      </w:r>
    </w:p>
    <w:p>
      <w:pPr>
        <w:rPr>
          <w:rFonts w:ascii="宋体" w:hAnsi="宋体"/>
          <w:szCs w:val="21"/>
        </w:rPr>
      </w:pPr>
      <w:r>
        <w:rPr>
          <w:rFonts w:ascii="宋体" w:hAnsi="宋体" w:hint="eastAsia"/>
          <w:szCs w:val="21"/>
        </w:rPr>
        <w:t>（1）本项目为专门面向中小企业采购的项目，不再执行价格评审优惠的扶持政策，小微企业不得将合同分包给大中型企业，中型企业不得将合同分包给大型企业。投标人提供服务全部均应由中小企业承接。</w:t>
      </w:r>
    </w:p>
    <w:p>
      <w:pPr>
        <w:rPr>
          <w:rFonts w:ascii="宋体" w:hAnsi="宋体"/>
          <w:szCs w:val="21"/>
        </w:rPr>
      </w:pPr>
      <w:r>
        <w:rPr>
          <w:rFonts w:ascii="宋体" w:hAnsi="宋体" w:hint="eastAsia"/>
          <w:szCs w:val="21"/>
        </w:rPr>
        <w:t>备注：（a）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 中小企业制造是指货物由中小企业生产且使用该中小企业商号或者注册商标；投标人提供的货物既有中小企业制造货物，又有非中小企业制造货物的，作无效投标处理。</w:t>
      </w:r>
    </w:p>
    <w:p>
      <w:pPr>
        <w:rPr>
          <w:rFonts w:ascii="宋体" w:hAnsi="宋体"/>
          <w:szCs w:val="21"/>
          <w:highlight w:val="none"/>
        </w:rPr>
      </w:pPr>
      <w:r>
        <w:rPr>
          <w:rFonts w:ascii="宋体" w:hAnsi="宋体" w:hint="eastAsia"/>
          <w:szCs w:val="21"/>
        </w:rPr>
        <w:t>（2）根据《工业和信息化部、国家统计局、国家发展和改革委员会、财政部关于印发中小企业划型标准规定的通知》（工信部联企业〔2011〕300 号），本项目采购标的（</w:t>
      </w:r>
      <w:r>
        <w:rPr>
          <w:rFonts w:ascii="宋体" w:hAnsi="宋体" w:hint="eastAsia"/>
          <w:color w:val="FF0000"/>
          <w:szCs w:val="21"/>
        </w:rPr>
        <w:t>服务需求</w:t>
      </w:r>
      <w:r>
        <w:rPr>
          <w:rFonts w:ascii="宋体" w:hAnsi="宋体" w:hint="eastAsia"/>
          <w:szCs w:val="21"/>
        </w:rPr>
        <w:t>）对应的中小企业划分标准所属行业为</w:t>
      </w:r>
      <w:r>
        <w:rPr>
          <w:b/>
          <w:bCs/>
          <w:color w:val="FF0000"/>
          <w:highlight w:val="none"/>
          <w:u w:val="single"/>
        </w:rPr>
        <w:t xml:space="preserve"> </w:t>
      </w:r>
      <w:r>
        <w:rPr>
          <w:rFonts w:hint="eastAsia"/>
          <w:b/>
          <w:bCs/>
          <w:color w:val="FF0000"/>
          <w:highlight w:val="none"/>
          <w:u w:val="single"/>
        </w:rPr>
        <w:t>物业管理</w:t>
      </w:r>
      <w:r>
        <w:rPr>
          <w:rFonts w:ascii="宋体" w:hAnsi="宋体" w:hint="eastAsia"/>
          <w:b/>
          <w:bCs/>
          <w:color w:val="FF0000"/>
          <w:szCs w:val="21"/>
          <w:highlight w:val="none"/>
          <w:u w:val="single"/>
        </w:rPr>
        <w:t>业</w:t>
      </w:r>
      <w:r>
        <w:rPr>
          <w:rFonts w:ascii="宋体" w:hAnsi="宋体" w:hint="eastAsia"/>
          <w:szCs w:val="21"/>
          <w:highlight w:val="none"/>
        </w:rPr>
        <w:t>。</w:t>
      </w:r>
    </w:p>
    <w:p>
      <w:pPr>
        <w:rPr>
          <w:rFonts w:ascii="宋体" w:hAnsi="宋体"/>
          <w:szCs w:val="21"/>
        </w:rPr>
      </w:pPr>
      <w:r>
        <w:rPr>
          <w:rFonts w:ascii="宋体" w:hAnsi="宋体" w:hint="eastAsia"/>
          <w:szCs w:val="21"/>
        </w:rPr>
        <w:t>（3）中型企业、小型企业、微型企业、残疾人福利性单位的认定资料为《中小企业声明函》、《残疾人福利性单位声明函》；监狱企业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rFonts w:ascii="仿宋" w:eastAsia="仿宋" w:hAnsi="仿宋"/>
          <w:sz w:val="28"/>
          <w:szCs w:val="28"/>
        </w:rPr>
      </w:pPr>
    </w:p>
    <w:p>
      <w:pPr>
        <w:rPr>
          <w:rFonts w:ascii="Calibri" w:hAnsi="Calibri"/>
        </w:rPr>
      </w:pPr>
    </w:p>
    <w:p>
      <w:pPr>
        <w:rPr>
          <w:bCs/>
        </w:rPr>
      </w:pPr>
      <w:r>
        <w:rPr>
          <w:rFonts w:hint="eastAsia"/>
          <w:bCs/>
        </w:rPr>
        <w:t>2.关于政府采购订单融资政策</w:t>
      </w:r>
    </w:p>
    <w:p>
      <w:pPr>
        <w:rPr>
          <w:bCs/>
        </w:rPr>
      </w:pPr>
      <w:r>
        <w:rPr>
          <w:rFonts w:hint="eastAsia"/>
          <w:bCs/>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
      <w:pPr>
        <w:jc w:val="left"/>
        <w:rPr>
          <w:rFonts w:ascii="宋体" w:hAnsi="宋体" w:cs="宋体"/>
          <w:b/>
          <w:color w:val="FF0000"/>
          <w:szCs w:val="21"/>
        </w:rPr>
      </w:pPr>
      <w:r>
        <w:rPr>
          <w:rFonts w:hint="eastAsia"/>
        </w:rPr>
        <w:t>3.</w:t>
      </w:r>
      <w:r>
        <w:rPr>
          <w:rFonts w:hint="eastAsia"/>
          <w:b/>
          <w:color w:val="FF0000"/>
        </w:rPr>
        <w:t>代理服务费</w:t>
      </w:r>
    </w:p>
    <w:p>
      <w:pPr>
        <w:spacing w:before="50" w:after="50"/>
        <w:ind w:firstLine="420" w:firstLineChars="200"/>
        <w:rPr>
          <w:rFonts w:ascii="宋体" w:hAnsi="宋体" w:cs="宋体"/>
          <w:color w:val="FF0000"/>
          <w:szCs w:val="21"/>
        </w:rPr>
      </w:pPr>
      <w:bookmarkStart w:id="30" w:name="_GoBack"/>
      <w:bookmarkEnd w:id="30"/>
      <w:r>
        <w:rPr>
          <w:rFonts w:ascii="宋体" w:hAnsi="宋体" w:cs="宋体" w:hint="eastAsia"/>
          <w:color w:val="FF0000"/>
          <w:szCs w:val="21"/>
        </w:rPr>
        <w:t>本项目不向中标供应商收取代理服务费</w:t>
      </w:r>
    </w:p>
    <w:p/>
    <w:p>
      <w:r>
        <w:rPr>
          <w:rFonts w:hint="eastAsia"/>
        </w:rPr>
        <w:t>4.长期服务采购项目</w:t>
      </w:r>
    </w:p>
    <w:p>
      <w:pPr>
        <w:ind w:firstLine="420" w:firstLineChars="200"/>
      </w:pPr>
      <w:r>
        <w:rPr>
          <w:rFonts w:hint="eastAsia"/>
          <w:color w:val="000000" w:themeColor="text1"/>
          <w14:textFill>
            <w14:solidFill>
              <w14:schemeClr w14:val="tx1"/>
            </w14:solidFill>
          </w14:textFill>
        </w:rPr>
        <w:t>本项目为长期服务项目，合同期满可以续签，但合同履行期限最长不得超过三十六个月。如甲方对履约情况不满意，甲方不再续约。</w:t>
      </w:r>
    </w:p>
    <w:p>
      <w:pPr>
        <w:ind w:firstLine="420" w:firstLineChars="200"/>
      </w:pPr>
    </w:p>
    <w:p>
      <w:pPr>
        <w:rPr>
          <w:rFonts w:ascii="宋体" w:hAnsi="宋体"/>
          <w:b/>
          <w:bCs/>
          <w:kern w:val="0"/>
          <w:sz w:val="28"/>
          <w:szCs w:val="28"/>
        </w:rPr>
      </w:pPr>
      <w:bookmarkStart w:id="31" w:name="_Toc128884461"/>
      <w:r>
        <w:rPr>
          <w:sz w:val="28"/>
          <w:szCs w:val="28"/>
        </w:rPr>
        <w:br w:type="page"/>
      </w:r>
    </w:p>
    <w:p>
      <w:pPr>
        <w:pStyle w:val="Heading2"/>
        <w:rPr>
          <w:sz w:val="28"/>
          <w:szCs w:val="28"/>
        </w:rPr>
      </w:pPr>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
        <w:gridCol w:w="3565"/>
        <w:gridCol w:w="2425"/>
        <w:gridCol w:w="2110"/>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301" w:type="pct"/>
            <w:vAlign w:val="center"/>
          </w:tcPr>
          <w:p>
            <w:pPr>
              <w:jc w:val="center"/>
              <w:rPr>
                <w:bCs/>
                <w:szCs w:val="21"/>
              </w:rPr>
            </w:pPr>
            <w:r>
              <w:rPr>
                <w:rFonts w:hint="eastAsia"/>
                <w:bCs/>
                <w:szCs w:val="21"/>
              </w:rPr>
              <w:t>序号</w:t>
            </w:r>
          </w:p>
        </w:tc>
        <w:tc>
          <w:tcPr>
            <w:tcW w:w="1583" w:type="pct"/>
            <w:vAlign w:val="center"/>
          </w:tcPr>
          <w:p>
            <w:pPr>
              <w:jc w:val="center"/>
              <w:rPr>
                <w:bCs/>
                <w:szCs w:val="21"/>
              </w:rPr>
            </w:pPr>
            <w:r>
              <w:rPr>
                <w:rFonts w:hint="eastAsia"/>
                <w:szCs w:val="21"/>
              </w:rPr>
              <w:t>采购计划编号</w:t>
            </w:r>
          </w:p>
        </w:tc>
        <w:tc>
          <w:tcPr>
            <w:tcW w:w="1708" w:type="pct"/>
            <w:vAlign w:val="center"/>
          </w:tcPr>
          <w:p>
            <w:pPr>
              <w:jc w:val="center"/>
              <w:rPr>
                <w:bCs/>
                <w:szCs w:val="21"/>
              </w:rPr>
            </w:pPr>
            <w:r>
              <w:rPr>
                <w:rFonts w:hint="eastAsia"/>
                <w:bCs/>
                <w:szCs w:val="21"/>
              </w:rPr>
              <w:t>采购项目名称</w:t>
            </w:r>
          </w:p>
        </w:tc>
        <w:tc>
          <w:tcPr>
            <w:tcW w:w="1406" w:type="pct"/>
            <w:vAlign w:val="center"/>
          </w:tcPr>
          <w:p>
            <w:pPr>
              <w:jc w:val="center"/>
              <w:rPr>
                <w:b/>
                <w:bCs/>
                <w:color w:val="FF0000"/>
                <w:szCs w:val="21"/>
              </w:rPr>
            </w:pPr>
            <w:r>
              <w:rPr>
                <w:rFonts w:hint="eastAsia"/>
                <w:b/>
                <w:bCs/>
                <w:color w:val="FF0000"/>
                <w:szCs w:val="21"/>
              </w:rPr>
              <w:t>预算金额（元）</w:t>
            </w:r>
          </w:p>
        </w:tc>
      </w:tr>
      <w:tr>
        <w:tblPrEx>
          <w:tblW w:w="4998" w:type="pct"/>
          <w:tblInd w:w="0" w:type="dxa"/>
          <w:tblCellMar>
            <w:top w:w="0" w:type="dxa"/>
            <w:left w:w="108" w:type="dxa"/>
            <w:bottom w:w="0" w:type="dxa"/>
            <w:right w:w="108" w:type="dxa"/>
          </w:tblCellMar>
        </w:tblPrEx>
        <w:trPr>
          <w:trHeight w:val="290"/>
        </w:trPr>
        <w:tc>
          <w:tcPr>
            <w:tcW w:w="301" w:type="pct"/>
            <w:vAlign w:val="center"/>
          </w:tcPr>
          <w:p>
            <w:pPr>
              <w:jc w:val="center"/>
              <w:rPr>
                <w:bCs/>
                <w:color w:val="FF0000"/>
                <w:szCs w:val="21"/>
              </w:rPr>
            </w:pPr>
            <w:r>
              <w:rPr>
                <w:rFonts w:hint="eastAsia"/>
                <w:bCs/>
                <w:color w:val="FF0000"/>
                <w:szCs w:val="21"/>
              </w:rPr>
              <w:t>1</w:t>
            </w:r>
          </w:p>
        </w:tc>
        <w:tc>
          <w:tcPr>
            <w:tcW w:w="1583" w:type="pct"/>
            <w:vAlign w:val="center"/>
          </w:tcPr>
          <w:p>
            <w:pPr>
              <w:jc w:val="center"/>
              <w:rPr>
                <w:bCs/>
                <w:color w:val="FF0000"/>
                <w:szCs w:val="21"/>
              </w:rPr>
            </w:pPr>
            <w:r>
              <w:rPr>
                <w:rFonts w:hint="eastAsia"/>
                <w:bCs/>
                <w:color w:val="FF0000"/>
                <w:szCs w:val="21"/>
              </w:rPr>
              <w:t>PLAN-2023-440300000-609001-04374</w:t>
            </w:r>
          </w:p>
        </w:tc>
        <w:tc>
          <w:tcPr>
            <w:tcW w:w="1708" w:type="pct"/>
            <w:vMerge w:val="restart"/>
            <w:vAlign w:val="center"/>
          </w:tcPr>
          <w:p>
            <w:pPr>
              <w:jc w:val="center"/>
              <w:rPr>
                <w:b/>
                <w:bCs/>
                <w:color w:val="FF0000"/>
                <w:szCs w:val="21"/>
              </w:rPr>
            </w:pPr>
            <w:r>
              <w:rPr>
                <w:rFonts w:hint="eastAsia"/>
                <w:b/>
                <w:bCs/>
                <w:color w:val="FF0000"/>
                <w:szCs w:val="21"/>
              </w:rPr>
              <w:t>深圳市残疾人联合会深圳市残疾人综合服务大楼物业服务项目</w:t>
            </w:r>
          </w:p>
        </w:tc>
        <w:tc>
          <w:tcPr>
            <w:tcW w:w="1406" w:type="pct"/>
            <w:vAlign w:val="center"/>
          </w:tcPr>
          <w:p>
            <w:pPr>
              <w:jc w:val="center"/>
              <w:rPr>
                <w:bCs/>
                <w:color w:val="FF0000"/>
                <w:szCs w:val="21"/>
              </w:rPr>
            </w:pPr>
            <w:r>
              <w:rPr>
                <w:rFonts w:hint="eastAsia"/>
                <w:bCs/>
                <w:color w:val="FF0000"/>
                <w:szCs w:val="21"/>
              </w:rPr>
              <w:t>1805756.00</w:t>
            </w:r>
          </w:p>
        </w:tc>
      </w:tr>
      <w:tr>
        <w:tblPrEx>
          <w:tblW w:w="4998" w:type="pct"/>
          <w:tblInd w:w="0" w:type="dxa"/>
          <w:tblCellMar>
            <w:top w:w="0" w:type="dxa"/>
            <w:left w:w="108" w:type="dxa"/>
            <w:bottom w:w="0" w:type="dxa"/>
            <w:right w:w="108" w:type="dxa"/>
          </w:tblCellMar>
        </w:tblPrEx>
        <w:trPr>
          <w:trHeight w:val="290"/>
        </w:trPr>
        <w:tc>
          <w:tcPr>
            <w:tcW w:w="301" w:type="pct"/>
            <w:vAlign w:val="center"/>
          </w:tcPr>
          <w:p>
            <w:pPr>
              <w:jc w:val="center"/>
              <w:rPr>
                <w:bCs/>
                <w:color w:val="FF0000"/>
                <w:szCs w:val="21"/>
              </w:rPr>
            </w:pPr>
            <w:r>
              <w:rPr>
                <w:rFonts w:hint="eastAsia"/>
                <w:bCs/>
                <w:color w:val="FF0000"/>
                <w:szCs w:val="21"/>
              </w:rPr>
              <w:t>2</w:t>
            </w:r>
          </w:p>
        </w:tc>
        <w:tc>
          <w:tcPr>
            <w:tcW w:w="1583" w:type="pct"/>
            <w:vAlign w:val="center"/>
          </w:tcPr>
          <w:p>
            <w:pPr>
              <w:jc w:val="center"/>
              <w:rPr>
                <w:bCs/>
                <w:color w:val="FF0000"/>
                <w:szCs w:val="21"/>
              </w:rPr>
            </w:pPr>
            <w:r>
              <w:rPr>
                <w:rFonts w:hint="eastAsia"/>
                <w:bCs/>
                <w:color w:val="FF0000"/>
                <w:szCs w:val="21"/>
              </w:rPr>
              <w:t>PLAN-2023-440300000-609001-03625</w:t>
            </w:r>
          </w:p>
        </w:tc>
        <w:tc>
          <w:tcPr>
            <w:tcW w:w="1708" w:type="pct"/>
            <w:vMerge/>
            <w:vAlign w:val="center"/>
          </w:tcPr>
          <w:p>
            <w:pPr>
              <w:jc w:val="center"/>
              <w:rPr>
                <w:b/>
                <w:bCs/>
                <w:color w:val="FF0000"/>
                <w:szCs w:val="21"/>
              </w:rPr>
            </w:pPr>
          </w:p>
        </w:tc>
        <w:tc>
          <w:tcPr>
            <w:tcW w:w="1406" w:type="pct"/>
            <w:vAlign w:val="center"/>
          </w:tcPr>
          <w:p>
            <w:pPr>
              <w:jc w:val="center"/>
              <w:rPr>
                <w:bCs/>
                <w:color w:val="FF0000"/>
                <w:szCs w:val="21"/>
              </w:rPr>
            </w:pPr>
            <w:r>
              <w:rPr>
                <w:rFonts w:hint="eastAsia"/>
                <w:bCs/>
                <w:color w:val="FF0000"/>
                <w:szCs w:val="21"/>
              </w:rPr>
              <w:t>902244.00</w:t>
            </w:r>
          </w:p>
        </w:tc>
      </w:tr>
      <w:tr>
        <w:tblPrEx>
          <w:tblW w:w="4998" w:type="pct"/>
          <w:tblInd w:w="0" w:type="dxa"/>
          <w:tblCellMar>
            <w:top w:w="0" w:type="dxa"/>
            <w:left w:w="108" w:type="dxa"/>
            <w:bottom w:w="0" w:type="dxa"/>
            <w:right w:w="108" w:type="dxa"/>
          </w:tblCellMar>
        </w:tblPrEx>
        <w:trPr>
          <w:trHeight w:val="290"/>
        </w:trPr>
        <w:tc>
          <w:tcPr>
            <w:tcW w:w="3593" w:type="pct"/>
            <w:gridSpan w:val="3"/>
            <w:vAlign w:val="center"/>
          </w:tcPr>
          <w:p>
            <w:pPr>
              <w:jc w:val="center"/>
              <w:rPr>
                <w:b/>
                <w:bCs/>
                <w:color w:val="FF0000"/>
                <w:szCs w:val="21"/>
              </w:rPr>
            </w:pPr>
            <w:r>
              <w:rPr>
                <w:rFonts w:hint="eastAsia"/>
                <w:b/>
                <w:bCs/>
                <w:color w:val="FF0000"/>
                <w:szCs w:val="21"/>
              </w:rPr>
              <w:t>合计</w:t>
            </w:r>
          </w:p>
        </w:tc>
        <w:tc>
          <w:tcPr>
            <w:tcW w:w="1406" w:type="pct"/>
            <w:vAlign w:val="center"/>
          </w:tcPr>
          <w:p>
            <w:pPr>
              <w:jc w:val="center"/>
              <w:rPr>
                <w:bCs/>
                <w:color w:val="FF0000"/>
                <w:szCs w:val="21"/>
              </w:rPr>
            </w:pPr>
            <w:r>
              <w:rPr>
                <w:rFonts w:hint="eastAsia"/>
                <w:bCs/>
                <w:color w:val="FF0000"/>
                <w:szCs w:val="21"/>
              </w:rPr>
              <w:fldChar w:fldCharType="begin"/>
            </w:r>
            <w:r>
              <w:rPr>
                <w:rFonts w:hint="eastAsia"/>
                <w:bCs/>
                <w:color w:val="FF0000"/>
                <w:szCs w:val="21"/>
              </w:rPr>
              <w:instrText xml:space="preserve"> = sum(D2:D3) \* MERGEFORMAT </w:instrText>
            </w:r>
            <w:r>
              <w:rPr>
                <w:rFonts w:hint="eastAsia"/>
                <w:bCs/>
                <w:color w:val="FF0000"/>
                <w:szCs w:val="21"/>
              </w:rPr>
              <w:fldChar w:fldCharType="separate"/>
            </w:r>
            <w:r>
              <w:rPr>
                <w:rFonts w:hint="eastAsia"/>
                <w:bCs/>
                <w:color w:val="FF0000"/>
                <w:szCs w:val="21"/>
              </w:rPr>
              <w:t>2708000</w:t>
            </w:r>
            <w:r>
              <w:rPr>
                <w:rFonts w:hint="eastAsia"/>
                <w:bCs/>
                <w:color w:val="FF0000"/>
                <w:szCs w:val="21"/>
              </w:rPr>
              <w:fldChar w:fldCharType="end"/>
            </w:r>
          </w:p>
        </w:tc>
      </w:tr>
    </w:tbl>
    <w:p>
      <w:pPr>
        <w:pStyle w:val="Heading2"/>
        <w:spacing w:before="120" w:beforeLines="50" w:after="120" w:afterLines="50"/>
        <w:rPr>
          <w:szCs w:val="24"/>
        </w:rPr>
      </w:pPr>
      <w:r>
        <w:rPr>
          <w:rFonts w:hint="eastAsia"/>
          <w:szCs w:val="24"/>
        </w:rPr>
        <w:t>二、项目概况</w:t>
      </w:r>
    </w:p>
    <w:p>
      <w:pPr>
        <w:ind w:firstLine="420" w:firstLineChars="200"/>
        <w:rPr>
          <w:sz w:val="24"/>
        </w:rPr>
      </w:pPr>
    </w:p>
    <w:p>
      <w:pPr>
        <w:numPr>
          <w:ilvl w:val="0"/>
          <w:numId w:val="7"/>
        </w:numPr>
        <w:rPr>
          <w:b/>
          <w:sz w:val="24"/>
        </w:rPr>
      </w:pPr>
      <w:r>
        <w:rPr>
          <w:rFonts w:hint="eastAsia"/>
          <w:b/>
          <w:sz w:val="24"/>
        </w:rPr>
        <w:t>、大楼基本情况</w:t>
      </w:r>
    </w:p>
    <w:p>
      <w:pPr>
        <w:pStyle w:val="TOC2"/>
        <w:ind w:left="0"/>
      </w:pPr>
    </w:p>
    <w:p>
      <w:pPr>
        <w:spacing w:line="360" w:lineRule="auto"/>
        <w:ind w:firstLine="420" w:firstLineChars="200"/>
        <w:rPr>
          <w:szCs w:val="21"/>
        </w:rPr>
      </w:pPr>
      <w:r>
        <w:rPr>
          <w:rFonts w:hint="eastAsia"/>
          <w:szCs w:val="21"/>
        </w:rPr>
        <w:t>深圳市残疾人综合服务大楼是为全市残疾人提供综合服务的设施，项目总用地面积</w:t>
      </w:r>
      <w:r>
        <w:rPr>
          <w:szCs w:val="21"/>
        </w:rPr>
        <w:t>4954</w:t>
      </w:r>
      <w:r>
        <w:rPr>
          <w:rFonts w:hint="eastAsia"/>
          <w:szCs w:val="21"/>
        </w:rPr>
        <w:t>平方米，总建筑面积为</w:t>
      </w:r>
      <w:r>
        <w:rPr>
          <w:szCs w:val="21"/>
        </w:rPr>
        <w:t>1</w:t>
      </w:r>
      <w:r>
        <w:rPr>
          <w:rFonts w:hint="eastAsia"/>
          <w:szCs w:val="21"/>
        </w:rPr>
        <w:t>8586.94平米。大楼建筑设计</w:t>
      </w:r>
      <w:r>
        <w:rPr>
          <w:szCs w:val="21"/>
        </w:rPr>
        <w:t>14</w:t>
      </w:r>
      <w:r>
        <w:rPr>
          <w:rFonts w:hint="eastAsia"/>
          <w:szCs w:val="21"/>
        </w:rPr>
        <w:t>层，地上</w:t>
      </w:r>
      <w:r>
        <w:rPr>
          <w:szCs w:val="21"/>
        </w:rPr>
        <w:t>13</w:t>
      </w:r>
      <w:r>
        <w:rPr>
          <w:rFonts w:hint="eastAsia"/>
          <w:szCs w:val="21"/>
        </w:rPr>
        <w:t>层地下一层。</w:t>
      </w:r>
    </w:p>
    <w:p>
      <w:pPr>
        <w:spacing w:line="360" w:lineRule="auto"/>
        <w:ind w:firstLine="420" w:firstLineChars="200"/>
        <w:rPr>
          <w:szCs w:val="21"/>
        </w:rPr>
      </w:pPr>
      <w:r>
        <w:rPr>
          <w:rFonts w:hint="eastAsia"/>
          <w:szCs w:val="21"/>
        </w:rPr>
        <w:t>为了规范深圳市残疾人综合服务大楼的物业管理服务</w:t>
      </w:r>
      <w:r>
        <w:rPr>
          <w:szCs w:val="21"/>
        </w:rPr>
        <w:t>,</w:t>
      </w:r>
      <w:r>
        <w:rPr>
          <w:rFonts w:hint="eastAsia"/>
          <w:szCs w:val="21"/>
        </w:rPr>
        <w:t>拟将大楼的附属设施、机电设备、公用设施的维修、保养和管理及安全保卫、绿化保洁、等物业服务打包选择一家有资质、有管理经验、有业绩、有实力的物业管理公司实行一体化管理。</w:t>
      </w:r>
    </w:p>
    <w:p>
      <w:pPr>
        <w:spacing w:line="360" w:lineRule="auto"/>
        <w:ind w:firstLine="420" w:firstLineChars="200"/>
        <w:rPr>
          <w:szCs w:val="21"/>
        </w:rPr>
      </w:pPr>
      <w:r>
        <w:rPr>
          <w:rFonts w:hint="eastAsia"/>
          <w:szCs w:val="21"/>
        </w:rPr>
        <w:t>主要设备设施介绍</w:t>
      </w:r>
    </w:p>
    <w:p>
      <w:pPr>
        <w:spacing w:line="360" w:lineRule="auto"/>
        <w:rPr>
          <w:rFonts w:ascii="宋体" w:hAnsi="宋体"/>
          <w:szCs w:val="21"/>
        </w:rPr>
      </w:pPr>
      <w:r>
        <w:rPr>
          <w:rFonts w:ascii="宋体" w:hAnsi="宋体" w:hint="eastAsia"/>
          <w:szCs w:val="21"/>
        </w:rPr>
        <w:t>1、空调：海尔KMR-450W/D532A 冷暖两用工程主机37台；</w:t>
      </w:r>
    </w:p>
    <w:p>
      <w:pPr>
        <w:numPr>
          <w:ilvl w:val="0"/>
          <w:numId w:val="8"/>
        </w:numPr>
        <w:spacing w:line="360" w:lineRule="auto"/>
        <w:ind w:left="420" w:hanging="420"/>
        <w:rPr>
          <w:rFonts w:ascii="宋体" w:hAnsi="宋体"/>
          <w:szCs w:val="21"/>
        </w:rPr>
      </w:pPr>
      <w:r>
        <w:rPr>
          <w:rFonts w:ascii="宋体" w:hAnsi="宋体" w:hint="eastAsia"/>
          <w:szCs w:val="21"/>
        </w:rPr>
        <w:t>电梯：天津奥的斯 OTIS SKY 小机房电梯3台；</w:t>
      </w:r>
    </w:p>
    <w:p>
      <w:pPr>
        <w:numPr>
          <w:ilvl w:val="0"/>
          <w:numId w:val="8"/>
        </w:numPr>
        <w:spacing w:line="360" w:lineRule="auto"/>
        <w:ind w:left="420" w:hanging="420"/>
        <w:rPr>
          <w:rFonts w:ascii="宋体" w:hAnsi="宋体"/>
          <w:szCs w:val="21"/>
        </w:rPr>
      </w:pPr>
      <w:r>
        <w:rPr>
          <w:rFonts w:ascii="宋体" w:hAnsi="宋体" w:hint="eastAsia"/>
          <w:szCs w:val="21"/>
        </w:rPr>
        <w:t>供配电</w:t>
      </w:r>
      <w:r>
        <w:rPr>
          <w:rFonts w:ascii="宋体" w:hAnsi="宋体" w:hint="eastAsia"/>
          <w:b/>
          <w:szCs w:val="21"/>
        </w:rPr>
        <w:t>：</w:t>
      </w:r>
    </w:p>
    <w:p>
      <w:pPr>
        <w:spacing w:line="360" w:lineRule="auto"/>
        <w:ind w:firstLine="210" w:firstLineChars="100"/>
        <w:rPr>
          <w:rFonts w:ascii="宋体" w:hAnsi="宋体"/>
          <w:szCs w:val="21"/>
        </w:rPr>
      </w:pPr>
      <w:r>
        <w:rPr>
          <w:rFonts w:ascii="宋体" w:hAnsi="宋体" w:hint="eastAsia"/>
          <w:szCs w:val="21"/>
        </w:rPr>
        <w:t>3.1 北京施耐德环网开关柜:7单元（其中高压配电3单元，综合配电4单元）</w:t>
      </w:r>
    </w:p>
    <w:p>
      <w:pPr>
        <w:spacing w:line="360" w:lineRule="auto"/>
        <w:ind w:firstLine="210" w:firstLineChars="100"/>
        <w:rPr>
          <w:rFonts w:ascii="宋体" w:hAnsi="宋体"/>
          <w:szCs w:val="21"/>
        </w:rPr>
      </w:pPr>
      <w:r>
        <w:rPr>
          <w:rFonts w:ascii="宋体" w:hAnsi="宋体" w:hint="eastAsia"/>
          <w:szCs w:val="21"/>
        </w:rPr>
        <w:t>3.2 江苏施耐德SCB10-630KVA树脂浇注干式变压器：2台</w:t>
      </w:r>
    </w:p>
    <w:p>
      <w:pPr>
        <w:spacing w:line="360" w:lineRule="auto"/>
        <w:ind w:firstLine="210" w:firstLineChars="100"/>
        <w:rPr>
          <w:rFonts w:ascii="宋体" w:hAnsi="宋体"/>
          <w:szCs w:val="21"/>
        </w:rPr>
      </w:pPr>
      <w:r>
        <w:rPr>
          <w:rFonts w:ascii="宋体" w:hAnsi="宋体" w:hint="eastAsia"/>
          <w:szCs w:val="21"/>
        </w:rPr>
        <w:t>3.3英国320KW康明斯发电机：1台</w:t>
      </w:r>
    </w:p>
    <w:p>
      <w:pPr>
        <w:spacing w:line="360" w:lineRule="auto"/>
        <w:ind w:firstLine="210" w:firstLineChars="100"/>
        <w:rPr>
          <w:rFonts w:ascii="宋体" w:hAnsi="宋体"/>
          <w:szCs w:val="21"/>
        </w:rPr>
      </w:pPr>
      <w:r>
        <w:rPr>
          <w:rFonts w:ascii="宋体" w:hAnsi="宋体" w:hint="eastAsia"/>
          <w:szCs w:val="21"/>
        </w:rPr>
        <w:t>3.4 浙江施耐德进线及联络开关（低压）柜：12台</w:t>
      </w:r>
    </w:p>
    <w:p>
      <w:pPr>
        <w:spacing w:line="360" w:lineRule="auto"/>
        <w:rPr>
          <w:rFonts w:ascii="宋体" w:hAnsi="宋体"/>
          <w:b/>
          <w:szCs w:val="21"/>
        </w:rPr>
      </w:pPr>
      <w:r>
        <w:rPr>
          <w:rFonts w:ascii="宋体" w:hAnsi="宋体" w:hint="eastAsia"/>
          <w:szCs w:val="21"/>
        </w:rPr>
        <w:t>4、消防系统：</w:t>
      </w:r>
    </w:p>
    <w:p>
      <w:pPr>
        <w:spacing w:line="360" w:lineRule="auto"/>
        <w:ind w:firstLine="210" w:firstLineChars="100"/>
        <w:outlineLvl w:val="0"/>
        <w:rPr>
          <w:rFonts w:ascii="宋体" w:hAnsi="宋体"/>
          <w:szCs w:val="21"/>
        </w:rPr>
      </w:pPr>
      <w:r>
        <w:rPr>
          <w:rFonts w:ascii="宋体" w:hAnsi="宋体" w:hint="eastAsia"/>
          <w:szCs w:val="21"/>
        </w:rPr>
        <w:t>4.1 JB-QTL-2100联动型火灾报警系统：1套</w:t>
      </w:r>
    </w:p>
    <w:p>
      <w:pPr>
        <w:spacing w:line="360" w:lineRule="auto"/>
        <w:ind w:firstLine="210" w:firstLineChars="100"/>
        <w:outlineLvl w:val="0"/>
        <w:rPr>
          <w:rFonts w:ascii="宋体" w:hAnsi="宋体"/>
          <w:kern w:val="0"/>
          <w:szCs w:val="21"/>
        </w:rPr>
      </w:pPr>
      <w:r>
        <w:rPr>
          <w:rFonts w:ascii="宋体" w:hAnsi="宋体" w:hint="eastAsia"/>
          <w:szCs w:val="21"/>
        </w:rPr>
        <w:t xml:space="preserve">4.2 </w:t>
      </w:r>
      <w:r>
        <w:rPr>
          <w:rFonts w:ascii="宋体" w:hAnsi="宋体" w:hint="eastAsia"/>
          <w:kern w:val="0"/>
          <w:szCs w:val="21"/>
        </w:rPr>
        <w:t xml:space="preserve"> 广州市白云泵业集团有限公司Y2-225M-2  55KW立式消防栓水泵：2台</w:t>
      </w:r>
    </w:p>
    <w:p>
      <w:pPr>
        <w:spacing w:line="360" w:lineRule="auto"/>
        <w:ind w:firstLine="210" w:firstLineChars="100"/>
        <w:outlineLvl w:val="0"/>
        <w:rPr>
          <w:rFonts w:ascii="宋体" w:hAnsi="宋体"/>
          <w:kern w:val="0"/>
          <w:szCs w:val="21"/>
        </w:rPr>
      </w:pPr>
      <w:r>
        <w:rPr>
          <w:rFonts w:ascii="宋体" w:hAnsi="宋体" w:hint="eastAsia"/>
          <w:szCs w:val="21"/>
        </w:rPr>
        <w:t xml:space="preserve">4.3 </w:t>
      </w:r>
      <w:r>
        <w:rPr>
          <w:rFonts w:ascii="宋体" w:hAnsi="宋体" w:hint="eastAsia"/>
          <w:kern w:val="0"/>
          <w:szCs w:val="21"/>
        </w:rPr>
        <w:t>广州市白云泵业集团有限公司Y2-225M-2 55KW立式喷淋水泵：2台</w:t>
      </w:r>
    </w:p>
    <w:p>
      <w:pPr>
        <w:spacing w:line="360" w:lineRule="auto"/>
        <w:ind w:firstLine="210" w:firstLineChars="100"/>
        <w:rPr>
          <w:rFonts w:ascii="宋体" w:hAnsi="宋体"/>
          <w:kern w:val="0"/>
          <w:szCs w:val="21"/>
        </w:rPr>
      </w:pPr>
      <w:r>
        <w:rPr>
          <w:rFonts w:ascii="宋体" w:hAnsi="宋体" w:hint="eastAsia"/>
          <w:kern w:val="0"/>
          <w:szCs w:val="21"/>
        </w:rPr>
        <w:t>4.4 广州市白云泵业集团有限公司25BGL4-15X3 1.5KW稳压水泵：4台</w:t>
      </w:r>
    </w:p>
    <w:p>
      <w:pPr>
        <w:spacing w:line="360" w:lineRule="auto"/>
        <w:outlineLvl w:val="0"/>
        <w:rPr>
          <w:rFonts w:ascii="宋体" w:hAnsi="宋体"/>
          <w:b/>
          <w:kern w:val="0"/>
          <w:szCs w:val="21"/>
        </w:rPr>
      </w:pPr>
      <w:r>
        <w:rPr>
          <w:rFonts w:ascii="宋体" w:hAnsi="宋体" w:hint="eastAsia"/>
          <w:kern w:val="0"/>
          <w:szCs w:val="21"/>
        </w:rPr>
        <w:t>5、给排水：</w:t>
      </w:r>
    </w:p>
    <w:p>
      <w:pPr>
        <w:spacing w:line="360" w:lineRule="auto"/>
        <w:ind w:left="806" w:hanging="525" w:leftChars="134" w:hangingChars="250"/>
        <w:rPr>
          <w:rFonts w:ascii="宋体" w:hAnsi="宋体"/>
          <w:kern w:val="0"/>
          <w:szCs w:val="21"/>
        </w:rPr>
      </w:pPr>
      <w:r>
        <w:rPr>
          <w:rFonts w:ascii="宋体" w:hAnsi="宋体" w:hint="eastAsia"/>
          <w:kern w:val="0"/>
          <w:szCs w:val="21"/>
        </w:rPr>
        <w:t>5.1 广州市白云泵业集团有限公司Y250M-4Y-B5 55KW生活水泵（立式多级）：2台</w:t>
      </w:r>
    </w:p>
    <w:p>
      <w:pPr>
        <w:spacing w:line="360" w:lineRule="auto"/>
        <w:ind w:left="806" w:hanging="525" w:leftChars="134" w:hangingChars="250"/>
        <w:rPr>
          <w:rFonts w:ascii="宋体" w:hAnsi="宋体"/>
          <w:kern w:val="0"/>
          <w:szCs w:val="21"/>
        </w:rPr>
      </w:pPr>
      <w:r>
        <w:rPr>
          <w:rFonts w:ascii="宋体" w:hAnsi="宋体" w:hint="eastAsia"/>
          <w:szCs w:val="21"/>
        </w:rPr>
        <w:t>5.2</w:t>
      </w:r>
      <w:r>
        <w:rPr>
          <w:rFonts w:ascii="宋体" w:hAnsi="宋体" w:hint="eastAsia"/>
          <w:kern w:val="0"/>
          <w:szCs w:val="21"/>
        </w:rPr>
        <w:t>广州市白云泵业集团有限公司BYL12/12.5X8-50 5KW生活水泵（恒压）：1台</w:t>
      </w:r>
    </w:p>
    <w:p>
      <w:pPr>
        <w:spacing w:line="360" w:lineRule="auto"/>
        <w:ind w:left="806" w:hanging="525" w:leftChars="134" w:hangingChars="250"/>
        <w:outlineLvl w:val="0"/>
        <w:rPr>
          <w:rFonts w:ascii="黑体" w:eastAsia="黑体"/>
          <w:sz w:val="28"/>
          <w:szCs w:val="28"/>
        </w:rPr>
      </w:pPr>
      <w:r>
        <w:rPr>
          <w:rFonts w:ascii="宋体" w:hAnsi="宋体" w:hint="eastAsia"/>
          <w:szCs w:val="21"/>
        </w:rPr>
        <w:t xml:space="preserve">5.3 </w:t>
      </w:r>
      <w:r>
        <w:rPr>
          <w:rFonts w:ascii="宋体" w:hAnsi="宋体" w:hint="eastAsia"/>
          <w:kern w:val="0"/>
          <w:szCs w:val="21"/>
        </w:rPr>
        <w:t>广州市白云泵业集团有限公司JB/T10391-2008排污水泵：12台</w:t>
      </w:r>
    </w:p>
    <w:p>
      <w:pPr>
        <w:spacing w:line="360" w:lineRule="auto"/>
      </w:pPr>
      <w:r>
        <w:rPr>
          <w:rFonts w:hint="eastAsia"/>
        </w:rPr>
        <w:t>6、监控系统：监控系统</w:t>
      </w:r>
      <w:r>
        <w:t>1</w:t>
      </w:r>
      <w:r>
        <w:rPr>
          <w:rFonts w:hint="eastAsia"/>
        </w:rPr>
        <w:t>套。</w:t>
      </w:r>
    </w:p>
    <w:p>
      <w:pPr>
        <w:spacing w:line="360" w:lineRule="auto"/>
      </w:pPr>
      <w:r>
        <w:rPr>
          <w:rFonts w:hint="eastAsia"/>
        </w:rPr>
        <w:t>7、员工食堂：厨房设备、设施1套。</w:t>
      </w:r>
    </w:p>
    <w:p>
      <w:pPr>
        <w:rPr>
          <w:b/>
          <w:sz w:val="24"/>
        </w:rPr>
      </w:pPr>
      <w:r>
        <w:rPr>
          <w:rFonts w:hint="eastAsia"/>
          <w:b/>
          <w:sz w:val="24"/>
        </w:rPr>
        <w:t>（二）、物业服务范围</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（一）大楼建筑本体共用部位(外墙面、楼梯间、走廊通道、门厅、设备机房等)的维修、养护和管理；</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（二）大楼建筑本体共用设施设备(照明、空调系统、给排水系统、供配电系统、消防设施设备、门禁系统、闭路监控系统、电梯、会议系统、厨房设备等)的维修、养护、管理和运行服务；</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（三）本物业规划红线内属物业管理范围的公用设施（道路、路灯、化粪池、沙雨井、绿化带、室外水管道等）的维修、养护和管理；</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（四）采购单位配套的专业设备设施的维护和管理；</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（五）物业红线内公共场地、办公室、会议室、大厅、办公楼走廊、消防楼梯、洗手间、水房等部位的清洁卫生，垃圾的收集清运，环境定期消杀；</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（六）大楼外墙（含玻璃幕墙、磁砖外墙）每年清洗2次；</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（七）大楼围墙绿植及所有绿化地养护更换；</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（八）大楼秩序维护和安全保卫；停车场管理，交通、车辆行驶及停泊；</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（九）配合和协助公安机关进行治安监控和巡视等保安工作；抽调临时保安力量，做好大楼重大活动安全保卫工作，随时出员提供紧急救助服务；</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（十）负责大楼的报纸、信件、包裹、特快专递、文件等收发工作；</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（十一）物业及物业管理的档案和资料管理；</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（十二）配合采购方做好节能减排工作；</w:t>
      </w:r>
    </w:p>
    <w:p>
      <w:pPr>
        <w:widowControl/>
        <w:spacing w:line="420" w:lineRule="exact"/>
        <w:ind w:left="525" w:hanging="525" w:hangingChars="250"/>
        <w:jc w:val="left"/>
        <w:rPr>
          <w:rFonts w:ascii="宋体" w:hAnsi="宋体" w:cs="宋体"/>
          <w:kern w:val="0"/>
          <w:szCs w:val="21"/>
        </w:rPr>
      </w:pPr>
      <w:r>
        <w:rPr>
          <w:rFonts w:ascii="宋体" w:hAnsi="宋体" w:cs="宋体" w:hint="eastAsia"/>
          <w:kern w:val="0"/>
          <w:szCs w:val="21"/>
        </w:rPr>
        <w:t>（十三）根据深圳市防疫要求做好日常防疫工作；</w:t>
      </w:r>
    </w:p>
    <w:p>
      <w:pPr>
        <w:widowControl/>
        <w:spacing w:line="420" w:lineRule="exact"/>
        <w:ind w:left="525" w:hanging="525" w:hangingChars="250"/>
        <w:jc w:val="left"/>
        <w:rPr>
          <w:sz w:val="24"/>
        </w:rPr>
      </w:pPr>
      <w:r>
        <w:rPr>
          <w:rFonts w:ascii="宋体" w:hAnsi="宋体" w:cs="宋体" w:hint="eastAsia"/>
          <w:kern w:val="0"/>
          <w:szCs w:val="21"/>
        </w:rPr>
        <w:t>（十四）法规和政策规定由物业管理公司管理的其它事项；</w:t>
      </w:r>
    </w:p>
    <w:p>
      <w:pPr>
        <w:ind w:firstLine="420" w:firstLineChars="200"/>
        <w:rPr>
          <w:sz w:val="24"/>
        </w:rPr>
      </w:pPr>
    </w:p>
    <w:p>
      <w:pPr>
        <w:rPr>
          <w:rFonts w:ascii="宋体" w:hAnsi="宋体"/>
          <w:b/>
          <w:color w:val="FF0000"/>
          <w:szCs w:val="21"/>
        </w:rPr>
      </w:pPr>
    </w:p>
    <w:p>
      <w:pPr>
        <w:pStyle w:val="Heading2"/>
        <w:spacing w:before="120" w:beforeLines="50" w:after="120" w:afterLines="50"/>
        <w:rPr>
          <w:szCs w:val="24"/>
        </w:rPr>
      </w:pPr>
      <w:r>
        <w:rPr>
          <w:rFonts w:hint="eastAsia"/>
          <w:szCs w:val="24"/>
        </w:rPr>
        <w:t>三、</w:t>
      </w:r>
      <w:bookmarkStart w:id="32" w:name="_Hlk72073432"/>
      <w:r>
        <w:rPr>
          <w:rFonts w:hint="eastAsia"/>
          <w:szCs w:val="24"/>
        </w:rPr>
        <w:t>服务需求明细</w:t>
      </w:r>
      <w:bookmarkEnd w:id="32"/>
    </w:p>
    <w:tbl>
      <w:tblPr>
        <w:tblStyle w:val="TableNormal"/>
        <w:tblpPr w:leftFromText="180" w:rightFromText="180" w:vertAnchor="text" w:horzAnchor="margin" w:tblpY="173"/>
        <w:tblW w:w="86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1"/>
        <w:gridCol w:w="2598"/>
        <w:gridCol w:w="2693"/>
        <w:gridCol w:w="1276"/>
        <w:gridCol w:w="1276"/>
      </w:tblGrid>
      <w:tr>
        <w:tblPrEx>
          <w:tblW w:w="86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jc w:val="center"/>
              <w:rPr>
                <w:bCs/>
                <w:szCs w:val="21"/>
              </w:rPr>
            </w:pPr>
            <w:r>
              <w:rPr>
                <w:rFonts w:hint="eastAsia"/>
                <w:bCs/>
                <w:szCs w:val="21"/>
              </w:rPr>
              <w:t>序号</w:t>
            </w:r>
          </w:p>
        </w:tc>
        <w:tc>
          <w:tcPr>
            <w:tcW w:w="2598" w:type="dxa"/>
            <w:vAlign w:val="center"/>
          </w:tcPr>
          <w:p>
            <w:pPr>
              <w:jc w:val="center"/>
              <w:rPr>
                <w:bCs/>
                <w:szCs w:val="21"/>
              </w:rPr>
            </w:pPr>
            <w:r>
              <w:rPr>
                <w:rFonts w:hint="eastAsia"/>
                <w:szCs w:val="21"/>
              </w:rPr>
              <w:t>采购计划编号</w:t>
            </w:r>
          </w:p>
        </w:tc>
        <w:tc>
          <w:tcPr>
            <w:tcW w:w="2693" w:type="dxa"/>
            <w:vAlign w:val="center"/>
          </w:tcPr>
          <w:p>
            <w:pPr>
              <w:jc w:val="center"/>
              <w:rPr>
                <w:bCs/>
                <w:szCs w:val="21"/>
              </w:rPr>
            </w:pPr>
            <w:r>
              <w:rPr>
                <w:rFonts w:hint="eastAsia"/>
                <w:bCs/>
                <w:szCs w:val="21"/>
              </w:rPr>
              <w:t>服务需求名称（标的名称）</w:t>
            </w:r>
          </w:p>
        </w:tc>
        <w:tc>
          <w:tcPr>
            <w:tcW w:w="1276" w:type="dxa"/>
            <w:vAlign w:val="center"/>
          </w:tcPr>
          <w:p>
            <w:pPr>
              <w:jc w:val="center"/>
              <w:rPr>
                <w:bCs/>
                <w:szCs w:val="21"/>
              </w:rPr>
            </w:pPr>
            <w:r>
              <w:rPr>
                <w:rFonts w:hint="eastAsia"/>
                <w:bCs/>
                <w:szCs w:val="21"/>
              </w:rPr>
              <w:t>数量</w:t>
            </w:r>
          </w:p>
        </w:tc>
        <w:tc>
          <w:tcPr>
            <w:tcW w:w="1276" w:type="dxa"/>
            <w:vAlign w:val="center"/>
          </w:tcPr>
          <w:p>
            <w:pPr>
              <w:jc w:val="center"/>
              <w:rPr>
                <w:bCs/>
                <w:szCs w:val="21"/>
              </w:rPr>
            </w:pPr>
            <w:r>
              <w:rPr>
                <w:rFonts w:hint="eastAsia"/>
                <w:bCs/>
                <w:szCs w:val="21"/>
              </w:rPr>
              <w:t>单位</w:t>
            </w:r>
          </w:p>
        </w:tc>
      </w:tr>
      <w:tr>
        <w:tblPrEx>
          <w:tblW w:w="8614" w:type="dxa"/>
          <w:tblInd w:w="0" w:type="dxa"/>
          <w:tblLayout w:type="fixed"/>
          <w:tblCellMar>
            <w:top w:w="0" w:type="dxa"/>
            <w:left w:w="108" w:type="dxa"/>
            <w:bottom w:w="0" w:type="dxa"/>
            <w:right w:w="108" w:type="dxa"/>
          </w:tblCellMar>
        </w:tblPrEx>
        <w:trPr>
          <w:trHeight w:val="170"/>
        </w:trPr>
        <w:tc>
          <w:tcPr>
            <w:tcW w:w="771" w:type="dxa"/>
            <w:vAlign w:val="center"/>
          </w:tcPr>
          <w:p>
            <w:pPr>
              <w:jc w:val="center"/>
              <w:rPr>
                <w:bCs/>
                <w:szCs w:val="21"/>
              </w:rPr>
            </w:pPr>
            <w:r>
              <w:rPr>
                <w:rFonts w:hint="eastAsia"/>
                <w:bCs/>
                <w:szCs w:val="21"/>
              </w:rPr>
              <w:t>1</w:t>
            </w:r>
          </w:p>
        </w:tc>
        <w:tc>
          <w:tcPr>
            <w:tcW w:w="2598" w:type="dxa"/>
            <w:vAlign w:val="center"/>
          </w:tcPr>
          <w:p>
            <w:pPr>
              <w:jc w:val="center"/>
              <w:rPr>
                <w:bCs/>
                <w:color w:val="FF0000"/>
                <w:szCs w:val="21"/>
              </w:rPr>
            </w:pPr>
            <w:r>
              <w:rPr>
                <w:rFonts w:hint="eastAsia"/>
                <w:bCs/>
                <w:color w:val="FF0000"/>
                <w:szCs w:val="21"/>
              </w:rPr>
              <w:t>PLAN-2023-440300000-609001-04374</w:t>
            </w:r>
          </w:p>
        </w:tc>
        <w:tc>
          <w:tcPr>
            <w:tcW w:w="2693" w:type="dxa"/>
          </w:tcPr>
          <w:p>
            <w:pPr>
              <w:jc w:val="center"/>
              <w:rPr>
                <w:bCs/>
                <w:szCs w:val="21"/>
              </w:rPr>
            </w:pPr>
            <w:r>
              <w:rPr>
                <w:rFonts w:hint="eastAsia"/>
                <w:b/>
                <w:bCs/>
                <w:color w:val="FF0000"/>
                <w:szCs w:val="21"/>
              </w:rPr>
              <w:t>深圳市残疾人综合服务大楼2023年物业服务</w:t>
            </w:r>
          </w:p>
        </w:tc>
        <w:tc>
          <w:tcPr>
            <w:tcW w:w="1276" w:type="dxa"/>
            <w:vAlign w:val="center"/>
          </w:tcPr>
          <w:p>
            <w:pPr>
              <w:jc w:val="center"/>
              <w:rPr>
                <w:bCs/>
                <w:szCs w:val="21"/>
              </w:rPr>
            </w:pPr>
            <w:r>
              <w:t>1</w:t>
            </w:r>
          </w:p>
        </w:tc>
        <w:tc>
          <w:tcPr>
            <w:tcW w:w="1276" w:type="dxa"/>
            <w:vAlign w:val="center"/>
          </w:tcPr>
          <w:p>
            <w:pPr>
              <w:jc w:val="center"/>
              <w:rPr>
                <w:bCs/>
                <w:szCs w:val="21"/>
              </w:rPr>
            </w:pPr>
            <w:r>
              <w:rPr>
                <w:rFonts w:hint="eastAsia"/>
                <w:bCs/>
                <w:szCs w:val="21"/>
              </w:rPr>
              <w:t>项</w:t>
            </w:r>
          </w:p>
        </w:tc>
      </w:tr>
      <w:tr>
        <w:tblPrEx>
          <w:tblW w:w="8614" w:type="dxa"/>
          <w:tblInd w:w="0" w:type="dxa"/>
          <w:tblLayout w:type="fixed"/>
          <w:tblCellMar>
            <w:top w:w="0" w:type="dxa"/>
            <w:left w:w="108" w:type="dxa"/>
            <w:bottom w:w="0" w:type="dxa"/>
            <w:right w:w="108" w:type="dxa"/>
          </w:tblCellMar>
        </w:tblPrEx>
        <w:trPr>
          <w:trHeight w:val="170"/>
        </w:trPr>
        <w:tc>
          <w:tcPr>
            <w:tcW w:w="771" w:type="dxa"/>
            <w:vAlign w:val="center"/>
          </w:tcPr>
          <w:p>
            <w:pPr>
              <w:jc w:val="center"/>
              <w:rPr>
                <w:bCs/>
                <w:szCs w:val="21"/>
              </w:rPr>
            </w:pPr>
            <w:r>
              <w:rPr>
                <w:bCs/>
                <w:szCs w:val="21"/>
              </w:rPr>
              <w:t>2</w:t>
            </w:r>
          </w:p>
        </w:tc>
        <w:tc>
          <w:tcPr>
            <w:tcW w:w="2598" w:type="dxa"/>
            <w:vAlign w:val="center"/>
          </w:tcPr>
          <w:p>
            <w:pPr>
              <w:jc w:val="center"/>
              <w:rPr>
                <w:bCs/>
                <w:szCs w:val="21"/>
              </w:rPr>
            </w:pPr>
            <w:r>
              <w:rPr>
                <w:rFonts w:hint="eastAsia"/>
                <w:bCs/>
                <w:color w:val="FF0000"/>
                <w:szCs w:val="21"/>
              </w:rPr>
              <w:t>PLAN-2023-440300000-609001-03625</w:t>
            </w:r>
          </w:p>
        </w:tc>
        <w:tc>
          <w:tcPr>
            <w:tcW w:w="2693" w:type="dxa"/>
          </w:tcPr>
          <w:p>
            <w:pPr>
              <w:jc w:val="center"/>
              <w:rPr>
                <w:bCs/>
                <w:szCs w:val="21"/>
              </w:rPr>
            </w:pPr>
            <w:r>
              <w:rPr>
                <w:rFonts w:hint="eastAsia"/>
                <w:b/>
                <w:bCs/>
                <w:color w:val="FF0000"/>
                <w:szCs w:val="21"/>
              </w:rPr>
              <w:t>深圳市残疾人综合服务大楼2023年物业服务</w:t>
            </w:r>
          </w:p>
        </w:tc>
        <w:tc>
          <w:tcPr>
            <w:tcW w:w="1276" w:type="dxa"/>
            <w:vAlign w:val="center"/>
          </w:tcPr>
          <w:p>
            <w:pPr>
              <w:jc w:val="center"/>
              <w:rPr>
                <w:bCs/>
                <w:szCs w:val="21"/>
              </w:rPr>
            </w:pPr>
            <w:r>
              <w:rPr>
                <w:rFonts w:hint="eastAsia"/>
                <w:bCs/>
                <w:szCs w:val="21"/>
              </w:rPr>
              <w:t>1</w:t>
            </w:r>
          </w:p>
        </w:tc>
        <w:tc>
          <w:tcPr>
            <w:tcW w:w="1276" w:type="dxa"/>
            <w:vAlign w:val="center"/>
          </w:tcPr>
          <w:p>
            <w:pPr>
              <w:jc w:val="center"/>
              <w:rPr>
                <w:bCs/>
                <w:szCs w:val="21"/>
              </w:rPr>
            </w:pPr>
            <w:r>
              <w:rPr>
                <w:rFonts w:hint="eastAsia"/>
                <w:bCs/>
                <w:szCs w:val="21"/>
              </w:rPr>
              <w:t>项</w:t>
            </w:r>
          </w:p>
        </w:tc>
      </w:tr>
    </w:tbl>
    <w:p>
      <w:pPr>
        <w:pStyle w:val="BodyText"/>
      </w:pPr>
    </w:p>
    <w:p>
      <w:pPr>
        <w:pStyle w:val="Heading2"/>
        <w:spacing w:before="120" w:beforeLines="50" w:after="120" w:afterLines="50"/>
        <w:rPr>
          <w:szCs w:val="24"/>
        </w:rPr>
      </w:pPr>
      <w:r>
        <w:rPr>
          <w:rFonts w:hint="eastAsia"/>
          <w:szCs w:val="24"/>
        </w:rPr>
        <w:t>四、实质性条款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rPr>
                <w:rFonts w:hAnsi="宋体" w:eastAsiaTheme="minorEastAsia"/>
                <w:kern w:val="0"/>
                <w:szCs w:val="21"/>
              </w:rPr>
            </w:pPr>
            <w:r>
              <w:rPr>
                <w:rFonts w:hint="eastAsia"/>
              </w:rPr>
              <w:t>满足本项目标★的条款要求</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eastAsia="宋体" w:hAnsi="宋体" w:hint="eastAsia"/>
                <w:kern w:val="0"/>
                <w:szCs w:val="21"/>
                <w:lang w:val="en-US" w:eastAsia="zh-CN"/>
              </w:rPr>
            </w:pPr>
            <w:r>
              <w:rPr>
                <w:rFonts w:ascii="宋体" w:hAnsi="宋体" w:hint="eastAsia"/>
                <w:kern w:val="0"/>
                <w:szCs w:val="21"/>
                <w:lang w:val="en-US" w:eastAsia="zh-CN"/>
              </w:rPr>
              <w:t>2</w:t>
            </w:r>
          </w:p>
        </w:tc>
        <w:tc>
          <w:tcPr>
            <w:tcW w:w="7483" w:type="dxa"/>
          </w:tcPr>
          <w:p>
            <w:pPr>
              <w:widowControl/>
              <w:spacing w:line="420" w:lineRule="exact"/>
              <w:jc w:val="left"/>
              <w:rPr>
                <w:rFonts w:hint="eastAsia"/>
              </w:rPr>
            </w:pPr>
            <w:r>
              <w:rPr>
                <w:rFonts w:ascii="宋体" w:hAnsi="宋体" w:cs="宋体" w:hint="eastAsia"/>
                <w:b/>
                <w:bCs/>
                <w:color w:val="FF0000"/>
                <w:kern w:val="0"/>
                <w:szCs w:val="21"/>
              </w:rPr>
              <w:t>投标人若为保安服务公司，需提供服务所在地公安机关核发的《保安服务许可证》【非服务所在地公安机关核发的，承诺“在开始提供保安服务之前30日内向服务所在地设区市的公安机关备案“，提供承诺函（格式自拟）】；若为自行招用保安员的单位，需提供服务所在地设区市的公安机关备案证明【未取得备案的，需承诺“自开始保安服务之日起30个工作日内向服务所在地设区市的公安机关备案”，提供承诺函（格式自拟）】。</w:t>
            </w:r>
          </w:p>
        </w:tc>
      </w:tr>
    </w:tbl>
    <w:p>
      <w:pPr>
        <w:rPr>
          <w:rFonts w:ascii="宋体"/>
          <w:b/>
          <w:kern w:val="0"/>
          <w:sz w:val="24"/>
          <w:szCs w:val="20"/>
        </w:rPr>
      </w:pPr>
      <w:bookmarkEnd w:id="31"/>
      <w:r>
        <w:rPr>
          <w:rFonts w:ascii="宋体"/>
          <w:b/>
          <w:kern w:val="0"/>
          <w:sz w:val="24"/>
          <w:szCs w:val="20"/>
        </w:rPr>
        <w:t>注：上表所列内容为不可负偏离条款，负偏离将视为未实质性满足招标文件要求和条件作投标无效处理。</w:t>
      </w:r>
    </w:p>
    <w:p>
      <w:pPr>
        <w:pStyle w:val="BodyText"/>
      </w:pPr>
    </w:p>
    <w:p>
      <w:pPr>
        <w:pStyle w:val="Heading2"/>
        <w:spacing w:before="120" w:beforeLines="50" w:after="120" w:afterLines="50"/>
        <w:rPr>
          <w:szCs w:val="24"/>
        </w:rPr>
      </w:pPr>
      <w:r>
        <w:rPr>
          <w:rFonts w:hint="eastAsia"/>
          <w:szCs w:val="24"/>
        </w:rPr>
        <w:t>五、技术要求</w:t>
      </w:r>
    </w:p>
    <w:p>
      <w:pPr>
        <w:jc w:val="center"/>
        <w:rPr>
          <w:b/>
          <w:sz w:val="28"/>
          <w:szCs w:val="28"/>
        </w:rPr>
      </w:pPr>
      <w:r>
        <w:rPr>
          <w:rFonts w:hint="eastAsia"/>
          <w:b/>
          <w:sz w:val="28"/>
          <w:szCs w:val="28"/>
        </w:rPr>
        <w:t>（一）物业服务标准及要求</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1、物业管理总体标准</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1.1 物业管理服务指标达到全国物业管理示范大厦指标标准；</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1.2 建立ISO9001质量保证体系，并有效运作；</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1.3 业主满意率达98%以上；</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1.4 有效投诉率0.2%以下；</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1.5 有效投诉处理率达100%；</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1.6 房屋及公共配套设施、设备完好率98%以上；</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1.7 大楼内治安案件发生率为零，无任何重大事故发生；</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1.8 环境卫生、消杀、绿化达标率为100%；</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1.9 利用现代化管理手段对物业管理进行管理100%；</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1.10 消防管理通过政府规定，年检完好率100%。</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2、要求</w:t>
      </w:r>
    </w:p>
    <w:p>
      <w:pPr>
        <w:widowControl/>
        <w:spacing w:line="420" w:lineRule="exact"/>
        <w:ind w:left="420" w:hanging="315" w:leftChars="50" w:hangingChars="150"/>
        <w:jc w:val="left"/>
        <w:rPr>
          <w:rFonts w:ascii="宋体" w:hAnsi="宋体" w:cs="宋体"/>
          <w:color w:val="0D0D0D"/>
          <w:kern w:val="0"/>
          <w:szCs w:val="21"/>
        </w:rPr>
      </w:pPr>
      <w:r>
        <w:rPr>
          <w:rFonts w:ascii="宋体" w:hAnsi="宋体" w:cs="宋体" w:hint="eastAsia"/>
          <w:kern w:val="0"/>
          <w:szCs w:val="21"/>
        </w:rPr>
        <w:t>2.1 乙方（即中标单位，下同）根据有关物业管理法规和与甲方（即深圳市残疾人联合会，下同）签订的物业管理委托合同，对该物业实行统一管理、综合服务、自主经营、自负盈亏、不得将项目非法分包或转包给任何单位和个人；如有特殊专业必须由有资质的专业公司承接相关服务，需经甲方同意才可分包或转包；</w:t>
      </w:r>
      <w:r>
        <w:rPr>
          <w:rFonts w:hint="eastAsia"/>
          <w:color w:val="0D0D0D"/>
          <w:szCs w:val="21"/>
        </w:rPr>
        <w:t>并承担运营过程中的所有风险（人员、生产、消防安全、劳资风险等）。</w:t>
      </w:r>
    </w:p>
    <w:p>
      <w:pPr>
        <w:widowControl/>
        <w:spacing w:line="420" w:lineRule="exact"/>
        <w:jc w:val="left"/>
        <w:rPr>
          <w:rFonts w:ascii="宋体" w:hAnsi="宋体" w:cs="宋体"/>
          <w:kern w:val="0"/>
          <w:szCs w:val="21"/>
        </w:rPr>
      </w:pPr>
      <w:r>
        <w:rPr>
          <w:rFonts w:ascii="宋体" w:hAnsi="宋体" w:cs="宋体" w:hint="eastAsia"/>
          <w:kern w:val="0"/>
          <w:szCs w:val="21"/>
        </w:rPr>
        <w:t xml:space="preserve"> 2.2 为确保服务质量及与甲方的沟通联络，乙方须在大楼设立专门管理处，委派专职主管，       </w:t>
      </w:r>
    </w:p>
    <w:p>
      <w:pPr>
        <w:widowControl/>
        <w:spacing w:line="420" w:lineRule="exact"/>
        <w:jc w:val="left"/>
        <w:rPr>
          <w:rFonts w:ascii="宋体" w:hAnsi="宋体" w:cs="宋体"/>
          <w:kern w:val="0"/>
          <w:szCs w:val="21"/>
        </w:rPr>
      </w:pPr>
      <w:r>
        <w:rPr>
          <w:rFonts w:ascii="宋体" w:hAnsi="宋体" w:cs="宋体" w:hint="eastAsia"/>
          <w:kern w:val="0"/>
          <w:szCs w:val="21"/>
        </w:rPr>
        <w:t xml:space="preserve">    负责对提供服务、履行承诺、服务质量的检查监督及与甲方日常业务联系；</w:t>
      </w:r>
    </w:p>
    <w:p>
      <w:pPr>
        <w:widowControl/>
        <w:spacing w:line="420" w:lineRule="exact"/>
        <w:ind w:left="420" w:hanging="315" w:leftChars="50" w:hangingChars="150"/>
        <w:jc w:val="left"/>
        <w:rPr>
          <w:rFonts w:ascii="宋体" w:hAnsi="宋体" w:cs="宋体"/>
          <w:color w:val="0D0D0D"/>
          <w:kern w:val="0"/>
          <w:szCs w:val="21"/>
        </w:rPr>
      </w:pPr>
      <w:r>
        <w:rPr>
          <w:rFonts w:ascii="宋体" w:hAnsi="宋体" w:cs="宋体" w:hint="eastAsia"/>
          <w:kern w:val="0"/>
          <w:szCs w:val="21"/>
        </w:rPr>
        <w:t>2.3 乙方须制定并提供员工管理服务规范要求及确保服务质量达标的具体措施；</w:t>
      </w:r>
      <w:r>
        <w:rPr>
          <w:rFonts w:hint="eastAsia"/>
          <w:color w:val="0D0D0D"/>
          <w:szCs w:val="21"/>
        </w:rPr>
        <w:t>人员的劳动关系、人员管理归属于乙方全权负责，包括定</w:t>
      </w:r>
      <w:r>
        <w:rPr>
          <w:rFonts w:hint="eastAsia"/>
          <w:color w:val="262626"/>
          <w:szCs w:val="21"/>
        </w:rPr>
        <w:t>编、</w:t>
      </w:r>
      <w:r>
        <w:rPr>
          <w:rFonts w:hint="eastAsia"/>
          <w:color w:val="0D0D0D"/>
          <w:szCs w:val="21"/>
        </w:rPr>
        <w:t>定薪和日常管理。</w:t>
      </w:r>
      <w:r>
        <w:rPr>
          <w:rFonts w:ascii="宋体" w:hAnsi="宋体" w:cs="宋体"/>
          <w:color w:val="0D0D0D"/>
          <w:kern w:val="0"/>
          <w:szCs w:val="21"/>
        </w:rPr>
        <w:t xml:space="preserve"> </w:t>
      </w:r>
    </w:p>
    <w:p>
      <w:pPr>
        <w:widowControl/>
        <w:spacing w:line="420" w:lineRule="exact"/>
        <w:jc w:val="left"/>
        <w:rPr>
          <w:rFonts w:ascii="宋体" w:hAnsi="宋体" w:cs="宋体"/>
          <w:kern w:val="0"/>
          <w:szCs w:val="21"/>
        </w:rPr>
      </w:pPr>
      <w:r>
        <w:rPr>
          <w:rFonts w:ascii="宋体" w:hAnsi="宋体" w:cs="宋体" w:hint="eastAsia"/>
          <w:kern w:val="0"/>
          <w:szCs w:val="21"/>
        </w:rPr>
        <w:t xml:space="preserve"> 2.4 乙方须向甲方提供并履行服务承诺；</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2.5 乙方须主动接受甲方的指导、检查、监督及协调，甲方在适当时候对该物业管理进行考核，如达不到上述要求，则可终止委托管理合同并进行财务审计，由乙方承担违约和赔偿责任；</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2.6 甲方除按合同规定支付物业管理费和合同明确规定由甲方支付的相关费用外，物业管理各项费用开支均由乙方自行承担；</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2.7 乙方应严格执行有关物业管理法律法规以及与甲方签定的物业管理合同，自觉接受行业主管部门的监管，因违法或违约造成的一切法律责任，由乙方自行承担；</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2.8本招标项目招标人选择一家独立中标单位，中标单位不得将服务内容予以转包或分包，服务内容除涉及变更外，各项服务费总价、单价均以中标价为准。举办任何大小活动需增加临时服务时，不再增加任何费用；</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2.9乙方所有员工甲方不提供餐饮和住宿；</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2.10乙方服务人员在岗履行工作职责期间，发生自身的人身伤害、伤亡，均由乙方负责处理并承担经济和道义上的责任，甲方不承担任何责任；</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2.11乙方违反国家相关法规，与其聘用人员发生纠纷，均由乙方负责调解与处理，甲方不承担任何责任；</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2.12乙方在服务中违反国家相关法规，因过失造成他人人身伤亡的，均由乙方负责处理并承担经济和道义上的责任，甲方不承担任何责任；</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2.13本项目给出的工程承包范围和说明描述只是概括的，不应认为是全面的、无缺的，服务单位应研究所有相关文件、工程量清单，特别是图纸和工程现场的实际情况去完全了解本项目的实际范围；</w:t>
      </w:r>
    </w:p>
    <w:p>
      <w:pPr>
        <w:widowControl/>
        <w:snapToGrid w:val="0"/>
        <w:spacing w:line="420" w:lineRule="exact"/>
        <w:jc w:val="left"/>
        <w:outlineLvl w:val="0"/>
        <w:rPr>
          <w:rFonts w:ascii="宋体" w:hAnsi="宋体" w:cs="宋体"/>
          <w:b/>
          <w:bCs/>
          <w:color w:val="FF0000"/>
          <w:kern w:val="0"/>
          <w:szCs w:val="21"/>
        </w:rPr>
      </w:pPr>
      <w:r>
        <w:rPr>
          <w:rFonts w:ascii="宋体" w:hAnsi="宋体" w:cs="宋体" w:hint="eastAsia"/>
          <w:b/>
          <w:bCs/>
          <w:kern w:val="0"/>
          <w:szCs w:val="21"/>
        </w:rPr>
        <w:t>3、人员配备要求</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物业公司在保证按要求配备值班人员外，按照相关法律法规安排好员工的轮休。</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3.1 现场负责人1人：大专及以上学历有相关物业管理经验，具安全主任资格证45岁以下；</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3.2 物业服务相关档案管理人员1人：大专及以上学历有相关档案管理经验35岁以下；</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3.3 物业客服服务人员2人：大专及以上学历有相关物业管理经验35岁以下；</w:t>
      </w:r>
    </w:p>
    <w:p>
      <w:pPr>
        <w:widowControl/>
        <w:spacing w:line="420" w:lineRule="exact"/>
        <w:ind w:left="630" w:hanging="210" w:leftChars="200" w:hangingChars="100"/>
        <w:jc w:val="left"/>
        <w:rPr>
          <w:rFonts w:ascii="宋体" w:hAnsi="宋体" w:cs="宋体"/>
          <w:color w:val="000000"/>
          <w:kern w:val="0"/>
          <w:szCs w:val="21"/>
        </w:rPr>
      </w:pPr>
      <w:r>
        <w:rPr>
          <w:rFonts w:ascii="宋体" w:hAnsi="宋体" w:cs="宋体" w:hint="eastAsia"/>
          <w:color w:val="000000"/>
          <w:kern w:val="0"/>
          <w:szCs w:val="21"/>
        </w:rPr>
        <w:t>3.4 公共设施日常维护人员4人：工程主管（有高级技术证书55岁以下）1人，水、电维修工（有中级技术证书50岁以下）3人；</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3.5 安防人员15人：高中及以上学历年龄45岁以下,45-60岁以上不可超2人；</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3.6 保洁人员绿化养护人员7人：年龄55岁以下,55-60岁不可超2人；</w:t>
      </w:r>
    </w:p>
    <w:p>
      <w:pPr>
        <w:widowControl/>
        <w:spacing w:line="420" w:lineRule="exact"/>
        <w:ind w:firstLine="420" w:firstLineChars="200"/>
        <w:jc w:val="left"/>
        <w:rPr>
          <w:rFonts w:ascii="宋体" w:hAnsi="宋体" w:cs="宋体"/>
          <w:color w:val="000000"/>
          <w:kern w:val="0"/>
          <w:szCs w:val="21"/>
        </w:rPr>
      </w:pPr>
      <w:r>
        <w:rPr>
          <w:rFonts w:ascii="宋体" w:hAnsi="宋体" w:cs="宋体" w:hint="eastAsia"/>
          <w:color w:val="000000"/>
          <w:kern w:val="0"/>
          <w:szCs w:val="21"/>
        </w:rPr>
        <w:t>3.7 物业公司所有人员上岗前须经甲方认可同意；</w:t>
      </w:r>
    </w:p>
    <w:p>
      <w:pPr>
        <w:widowControl/>
        <w:spacing w:line="420" w:lineRule="exact"/>
        <w:ind w:left="630" w:hanging="210" w:leftChars="200" w:hangingChars="100"/>
        <w:jc w:val="left"/>
        <w:rPr>
          <w:rFonts w:ascii="宋体" w:hAnsi="宋体" w:cs="宋体"/>
          <w:color w:val="000000"/>
          <w:kern w:val="0"/>
          <w:szCs w:val="21"/>
        </w:rPr>
      </w:pPr>
      <w:r>
        <w:rPr>
          <w:rFonts w:ascii="宋体" w:hAnsi="宋体" w:cs="宋体" w:hint="eastAsia"/>
          <w:color w:val="000000"/>
          <w:kern w:val="0"/>
          <w:szCs w:val="21"/>
        </w:rPr>
        <w:t>3.8 人员流动1年内不得超过25%。对不符合本项目的服务人员,服务单位应在两个工作日内要求其离岗并补齐相应岗位服务人员。</w:t>
      </w:r>
    </w:p>
    <w:p>
      <w:pPr>
        <w:widowControl/>
        <w:spacing w:line="420" w:lineRule="exact"/>
        <w:ind w:firstLine="480"/>
        <w:jc w:val="left"/>
        <w:rPr>
          <w:rFonts w:ascii="宋体" w:hAnsi="宋体" w:cs="宋体"/>
          <w:kern w:val="0"/>
          <w:szCs w:val="21"/>
        </w:rPr>
      </w:pPr>
    </w:p>
    <w:p>
      <w:pPr>
        <w:jc w:val="center"/>
        <w:rPr>
          <w:b/>
          <w:sz w:val="28"/>
          <w:szCs w:val="28"/>
        </w:rPr>
      </w:pPr>
      <w:bookmarkStart w:id="33" w:name="_Toc128884465"/>
      <w:r>
        <w:rPr>
          <w:rFonts w:hint="eastAsia"/>
          <w:b/>
          <w:sz w:val="28"/>
          <w:szCs w:val="28"/>
        </w:rPr>
        <w:t>（二）、物业服务</w:t>
      </w:r>
      <w:bookmarkEnd w:id="33"/>
      <w:r>
        <w:rPr>
          <w:rFonts w:hint="eastAsia"/>
          <w:b/>
          <w:sz w:val="28"/>
          <w:szCs w:val="28"/>
        </w:rPr>
        <w:t>基本内容及要求</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1、房屋与公共设施管理养护</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1.1  房屋管理养护范围：房屋承重结构部位(包括基础、梁、柱、板、屋顶等)、房屋的抗震结构部位(包括构造柱、梁、墙等)、房屋的内、外墙面、围墙、楼梯间、走廊通道、设备机房、门厅、门窗、屋面和地下室等。</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1.2 公共设施管理养护范围：大楼区域内道路、室外管网、保安亭、护栏、停车场闸门、标识导向牌、沟渠、池井、路灯、吊顶、信箱等。</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1.3 房屋与公共设施管理养护要求：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1.3.1 制定房屋与公共设施管理养护制度和计划，坚持日常检查和定期检查相结合、计划性维护保养和及时维修相结合；</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1.3.2 严格执行建设部颁布的房屋修缮管理标准，保证施工质量；</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 xml:space="preserve">1.3.3 确保管理养护范围内所有项目、设施的完好和正常使用，房屋及公共设施的完好率&gt;99%，维修工程合格率100%，返修率&lt;0.5%，重大维修工程回访率100%； </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1.3.4 严格制定维修养护工作时间，确保在不影响用户办公的前提下开展维修养护工作，并确保人员和财产安全；</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1.3.5 确保房屋及公共设施维修养护实施过程中使用材料符合环保要求；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1.3.6 日常维修保养更换、小修及零配件一次单项金额在200元以下（含200元）由乙方支付，维修材料单项200元以上材料费由甲方支付人工由乙方支付。</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2、房屋建筑本体共用设备管理养护</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2.1 房屋建筑本体共用设备管理养护范围：供配电系统、给排水系统、空调系统、消防系统、电梯系统、监控系统、门禁管理系统等。</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2.2 供配电系统管理养护要求：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2.2.1制定供配电系统管理养护制度和计划，定期对供配电系统范围内的电气设备包括变压器、高压环网柜、高压开关柜、低压配电柜、变配电室、柴油发电机组、公共照明智能控制系统等进行检查、检测和维护，建立各项设备档案，确保供配电系统24小时正常、安全运行；</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2.2.2 建立24小时维修值班制度，及时排除故障，零修合格率100%；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2.2.3 加强对大楼内外所有照明灯具、线路、开关的日常维护检修，确保正常、节能安全使用；</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2.2.4 制定切实可行节电管理制度，有明显节能成果；</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2.2.5 确保市政停电情况下发电机组在15秒钟内运转供电，功率因数达0.95以上；</w:t>
      </w:r>
    </w:p>
    <w:p>
      <w:pPr>
        <w:widowControl/>
        <w:spacing w:line="420" w:lineRule="exact"/>
        <w:ind w:firstLine="630" w:firstLineChars="300"/>
        <w:jc w:val="left"/>
        <w:rPr>
          <w:rFonts w:ascii="宋体" w:hAnsi="宋体" w:cs="宋体"/>
          <w:kern w:val="0"/>
          <w:szCs w:val="21"/>
        </w:rPr>
      </w:pPr>
      <w:r>
        <w:rPr>
          <w:rFonts w:ascii="宋体" w:hAnsi="宋体" w:cs="宋体" w:hint="eastAsia"/>
          <w:kern w:val="0"/>
          <w:szCs w:val="21"/>
        </w:rPr>
        <w:t>管理和维护好避雷设施；</w:t>
      </w:r>
    </w:p>
    <w:p>
      <w:pPr>
        <w:widowControl/>
        <w:spacing w:line="420" w:lineRule="exact"/>
        <w:ind w:left="630" w:hanging="210" w:leftChars="200" w:hangingChars="100"/>
        <w:jc w:val="left"/>
        <w:rPr>
          <w:rFonts w:ascii="宋体" w:hAnsi="宋体" w:cs="宋体"/>
          <w:kern w:val="0"/>
          <w:szCs w:val="21"/>
        </w:rPr>
      </w:pPr>
      <w:r>
        <w:rPr>
          <w:rFonts w:ascii="宋体" w:hAnsi="宋体" w:cs="宋体" w:hint="eastAsia"/>
          <w:kern w:val="0"/>
          <w:szCs w:val="21"/>
        </w:rPr>
        <w:t>2.2.6 日常维修保养更换、小修、零配件及耗材（包括光管、灯泡、镇流器、开关等）一次单项金额在200元以下（含200元）由乙方支付，维修材料单项200元以上材料费由甲方支付人工由乙方支付；</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3.1 给排水系统管理养护要求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3.1 .1制定并严格落实供水、用水管理制度和给排水系统设备维修保养制度，加强对给排水系统范围内的设备设施包括管网、水泵、水箱、水池、化粪池、水井、阀门等的日常检查、保养、维修、清洁和清通工作，确保给排水系统24小时正常、安全运行；</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3.1.2 建立24小时维修值班制度，及时发现和排除故障，维修合格率100%；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3.1.3 每季度对生活水池进行清洗消毒，按规定做好空调水的处理，确保生活饮用水符合国家规定的标准和要求；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3.1.4 每季度对化粪池、污水沉淀池进行定期清理确保通畅；</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3.1.5 日常维修保养更换、小修及零配件一次单项金额在200元以下（含200元）由乙方支付，维修材料单项200元以上材料费由甲方支付人工由乙方支付。</w:t>
      </w:r>
    </w:p>
    <w:p>
      <w:pPr>
        <w:widowControl/>
        <w:spacing w:line="420" w:lineRule="exact"/>
        <w:jc w:val="left"/>
        <w:rPr>
          <w:rFonts w:ascii="宋体" w:hAnsi="宋体" w:cs="宋体"/>
          <w:kern w:val="0"/>
          <w:szCs w:val="21"/>
        </w:rPr>
      </w:pPr>
      <w:r>
        <w:rPr>
          <w:rFonts w:ascii="宋体" w:hAnsi="宋体" w:cs="宋体" w:hint="eastAsia"/>
          <w:kern w:val="0"/>
          <w:szCs w:val="21"/>
        </w:rPr>
        <w:t>4.1 空调系统（含分体空调）管理养护要求：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4.1.1 制定并严格执行空调运行管理制度、安全操作规程和空调系统设备维修保养制度，定期对空调系统范围内的设备设施包括冷水机组、冷却塔、水泵、风机盘管、新风机柜、阀类、控制系统、水处理系统、分体空调机、中央空调运行智能控制系统等进行检查、检修和保养，确保空调系统安全运行、正常使用；</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4.1.2 建立24小时维修值班制度，及时发现和排除故障，维修合格率100%；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4.1.3 建立空调设备档案，做好各项运行和维修保养记录；</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4.1.4 制定切实可行节能运行制度，有明显节能降耗成果；</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4.1.5空调为全包项目所有规范维修由乙方承担。</w:t>
      </w:r>
    </w:p>
    <w:p>
      <w:pPr>
        <w:widowControl/>
        <w:spacing w:line="420" w:lineRule="exact"/>
        <w:jc w:val="left"/>
        <w:rPr>
          <w:rFonts w:ascii="宋体" w:hAnsi="宋体" w:cs="宋体"/>
          <w:kern w:val="0"/>
          <w:szCs w:val="21"/>
        </w:rPr>
      </w:pPr>
      <w:r>
        <w:rPr>
          <w:rFonts w:ascii="宋体" w:hAnsi="宋体" w:cs="宋体" w:hint="eastAsia"/>
          <w:kern w:val="0"/>
          <w:szCs w:val="21"/>
        </w:rPr>
        <w:t>5.1 消防系统管理养护要求：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5.1.1 制定并严格执行消防管理制度和消防系统设备维修保养制度，加强对消防系统范围内的设备设施包括控制中心、报警系统、应急广播和对讲电话、防排烟风机、气体灭火系统、消防栓及管网、消防泵、喷淋泵、喷淋管网、各类阀门、疏散指示牌等的日常检查、检测、检修和保养，确保设施设备完好率100%、整个系统可随时正常使用；</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5.1.2 及时发现并排除设施设备故障，维修合格率100%；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5.1.3 落实区域消防安全责任人、义务消防人员，加强消防日常检查，制定突发性火灾等应急预案，设立消防疏散示意图，保证紧急疏散通道通畅，确保无消防安全隐患，火灾发生率为“0”；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5.1.4 日常维修保养更换、小修及零配件一次单项金额在200元以下（含200元）由乙方支付，维修材料单项200元以上材料费由甲方支付人工由乙方支付。</w:t>
      </w:r>
    </w:p>
    <w:p>
      <w:pPr>
        <w:widowControl/>
        <w:spacing w:line="420" w:lineRule="exact"/>
        <w:jc w:val="left"/>
        <w:rPr>
          <w:rFonts w:ascii="宋体" w:hAnsi="宋体" w:cs="宋体"/>
          <w:kern w:val="0"/>
          <w:szCs w:val="21"/>
        </w:rPr>
      </w:pPr>
      <w:r>
        <w:rPr>
          <w:rFonts w:ascii="宋体" w:hAnsi="宋体" w:cs="宋体" w:hint="eastAsia"/>
          <w:kern w:val="0"/>
          <w:szCs w:val="21"/>
        </w:rPr>
        <w:t>6.1电梯系统管理养护要求：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6.1.1 制定并严格执行电梯运行管理制度、安全操作规程和电梯系统设备维修保养制度，定时、定期对电梯系统各项设施设备进行检查、检测，确保设施设备完好率100%、整个系统安全、正常运行；</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6.1.2 设立24小时报修电话或对讲机值守制度，及时发现并排除设施设备故障，及时有效处理电梯事故，维修质量合格率100%；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6.1.3 按时对电梯进行年度定期检验，办理安全运行证；</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6.1.4 做好各项运行和维修保养记录；</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6.1.5 制定切实可行节能运行管理措施，有明显节能降耗成果；</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6.1.6电梯为全包项目所有规范维修由乙方承担。</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3、安全保卫管理服务</w:t>
      </w:r>
    </w:p>
    <w:p>
      <w:pPr>
        <w:widowControl/>
        <w:spacing w:line="420" w:lineRule="exact"/>
        <w:ind w:firstLine="482"/>
        <w:jc w:val="left"/>
        <w:rPr>
          <w:rFonts w:ascii="宋体" w:hAnsi="宋体" w:cs="宋体"/>
          <w:kern w:val="0"/>
          <w:szCs w:val="21"/>
        </w:rPr>
      </w:pPr>
      <w:r>
        <w:rPr>
          <w:rFonts w:ascii="宋体" w:hAnsi="宋体" w:cs="宋体" w:hint="eastAsia"/>
          <w:kern w:val="0"/>
          <w:szCs w:val="21"/>
        </w:rPr>
        <w:t>安全保卫管理服务的内容和要求包括：</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3.1 对大楼红线以内区域实行24小时保安监控管理，加强日常巡查，确保大楼及各项财产安全，保证良好的工作秩序，偷盗案件发生率为“0”；</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3.2 保安监控中心、门卫岗亭、大楼大堂实行24小时值班制度，按要求对进入大楼的车辆、人员进行登记，做好安全防范；</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3.3 采取针对性措施，加强对领导办公区域、交通应急指挥中心、保密室、设备机房、停车场等重点部位的安全防范；</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3.4 建立车辆出入登记检查制度，合理规划交通线路和停车区，指挥内部、外部车辆停放，保证内部车辆安全，维护良好交通秩序，责任内车辆丢失损坏率为“0”；</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3.5 负责大楼所有门窗、照明、公用电器设备等的开、关，及时发现和排除各种安全隐患；</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3.6 建立突发事件处理制度，制定各类应急处理预案，及时、有效处理自然灾害、传染疫情、刑事治安、交通事故、交通维稳等各类突发事件、事故；</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3.7 制定并落实保密管理制度，未经用户批准不得在办公区照相、录音和录像，不得泄露用户内部工作人员私人电话、车牌号等私人资料；</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3.8 负责上下班音乐播放、当天报刊信件分发、非经常性物品搬运等工作；</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3.9 配合实施交通系统紧急应急预案，有效处理其他突发事件；</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3.10 配合实施交通行业维稳和反恐防恐任务；</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3.11做好大型会议、活动的接待、安保工作。</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4、清洁卫生服务</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4.1 清洁卫生服务范围：大楼所属环境地面、各种设施；大楼大堂及门口走廊、各层办公室、休息室、会议室、接待室、健身房等公共场所、走廊、卫生间、楼梯间地面及墙身、灯饰、空调风口、天花、门窗、消防栓、标识牌等公用设施设备；各部电梯；各层地下室等。</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4.2 清洁卫生服务要求：</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4.2.1 制定规范、完善的清洁卫生制度和计划，每天做好日常保洁服务，保持良好卫生环境，环境卫生达标率100%；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4.2.2 定期使用专业药剂、设备和技术，对日常保洁工作无法顾及或有特殊要求的区域、设施设备包括设施、镜面、大理石地面等进行清洁、养护；</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4.2.3 按规定做好大楼“四害”消杀及防疫消毒工作，消杀达标率100%；</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4.2.4 负责及时更换卫生间厕纸和洗手液，费用由甲方负责；</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4.2.5 按要求每天清理生活垃圾并运送垃圾处理场；</w:t>
      </w:r>
    </w:p>
    <w:p>
      <w:pPr>
        <w:widowControl/>
        <w:spacing w:line="420" w:lineRule="exact"/>
        <w:ind w:left="735" w:hanging="420" w:leftChars="150" w:hangingChars="200"/>
        <w:jc w:val="left"/>
        <w:rPr>
          <w:rFonts w:ascii="宋体" w:hAnsi="宋体" w:cs="宋体"/>
          <w:kern w:val="0"/>
          <w:szCs w:val="21"/>
        </w:rPr>
      </w:pPr>
      <w:r>
        <w:rPr>
          <w:rFonts w:ascii="宋体" w:hAnsi="宋体" w:cs="宋体" w:hint="eastAsia"/>
          <w:kern w:val="0"/>
          <w:szCs w:val="21"/>
        </w:rPr>
        <w:t>4.2.6 建立废旧物品回收管理制度，及时收集并存储、保管有利用价值的废旧物品，定期交由甲方处理。</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5、绿化摆花服务</w:t>
      </w:r>
    </w:p>
    <w:p>
      <w:pPr>
        <w:adjustRightInd w:val="0"/>
        <w:snapToGrid w:val="0"/>
        <w:spacing w:line="420" w:lineRule="exact"/>
        <w:outlineLvl w:val="0"/>
        <w:rPr>
          <w:rFonts w:ascii="宋体" w:hAnsi="宋体" w:cs="宋体"/>
          <w:kern w:val="0"/>
          <w:szCs w:val="21"/>
        </w:rPr>
      </w:pPr>
      <w:r>
        <w:rPr>
          <w:rFonts w:ascii="宋体" w:hAnsi="宋体" w:cs="宋体" w:hint="eastAsia"/>
          <w:kern w:val="0"/>
          <w:szCs w:val="21"/>
        </w:rPr>
        <w:t>5.1养护要求：对大楼围墙及天台绿地所有种植的绿植更换养护。</w:t>
      </w:r>
    </w:p>
    <w:p>
      <w:pPr>
        <w:adjustRightInd w:val="0"/>
        <w:snapToGrid w:val="0"/>
        <w:spacing w:line="420" w:lineRule="exact"/>
        <w:outlineLvl w:val="0"/>
        <w:rPr>
          <w:rFonts w:ascii="宋体" w:hAnsi="宋体" w:cs="宋体"/>
          <w:b/>
          <w:bCs/>
          <w:kern w:val="0"/>
          <w:szCs w:val="21"/>
        </w:rPr>
      </w:pPr>
      <w:r>
        <w:rPr>
          <w:rFonts w:ascii="宋体" w:hAnsi="宋体" w:cs="宋体" w:hint="eastAsia"/>
          <w:b/>
          <w:bCs/>
          <w:kern w:val="0"/>
          <w:szCs w:val="21"/>
        </w:rPr>
        <w:t>6、外墙清洗</w:t>
      </w:r>
    </w:p>
    <w:p>
      <w:pPr>
        <w:widowControl/>
        <w:spacing w:line="420" w:lineRule="exact"/>
        <w:ind w:left="17" w:firstLine="420" w:leftChars="8" w:firstLineChars="200"/>
        <w:jc w:val="left"/>
        <w:rPr>
          <w:rFonts w:ascii="宋体" w:hAnsi="宋体" w:cs="宋体"/>
          <w:kern w:val="0"/>
          <w:szCs w:val="21"/>
        </w:rPr>
      </w:pPr>
      <w:r>
        <w:rPr>
          <w:rFonts w:ascii="宋体" w:hAnsi="宋体" w:cs="宋体" w:hint="eastAsia"/>
          <w:kern w:val="0"/>
          <w:szCs w:val="21"/>
        </w:rPr>
        <w:t>外墙每年整体清洗两次，用三相高压机清洗，清洗高空作业员必须系主绳和附绳双保险操作，严禁用酸性药剂清洗。</w:t>
      </w:r>
    </w:p>
    <w:p>
      <w:pPr>
        <w:widowControl/>
        <w:snapToGrid w:val="0"/>
        <w:spacing w:line="420" w:lineRule="exact"/>
        <w:jc w:val="left"/>
        <w:outlineLvl w:val="0"/>
        <w:rPr>
          <w:rFonts w:ascii="宋体" w:hAnsi="宋体" w:cs="宋体"/>
          <w:kern w:val="0"/>
          <w:szCs w:val="21"/>
        </w:rPr>
      </w:pPr>
      <w:r>
        <w:rPr>
          <w:rFonts w:ascii="宋体" w:hAnsi="宋体" w:cs="宋体" w:hint="eastAsia"/>
          <w:b/>
          <w:bCs/>
          <w:kern w:val="0"/>
          <w:szCs w:val="21"/>
        </w:rPr>
        <w:t>7、会议室、理疗室、档案室、文体中心、多功能厅等公共场所管理</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7.1 做好相关后勤服务；</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7.2 做好各项会议活动的相关准备工作；</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7.3 进行日常清洁卫生工作；</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7.4 及时对麦克风、健身器材、康复器材等作消毒处理；</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7.5 会议活动结束后及时清理现场，做好清洁卫生，关闭好以上场所。</w:t>
      </w:r>
    </w:p>
    <w:p>
      <w:pPr>
        <w:widowControl/>
        <w:numPr>
          <w:ilvl w:val="0"/>
          <w:numId w:val="9"/>
        </w:numPr>
        <w:snapToGrid w:val="0"/>
        <w:spacing w:line="420" w:lineRule="exact"/>
        <w:jc w:val="left"/>
        <w:outlineLvl w:val="0"/>
        <w:rPr>
          <w:rFonts w:ascii="宋体" w:hAnsi="宋体" w:cs="宋体"/>
          <w:b/>
          <w:bCs/>
          <w:kern w:val="0"/>
          <w:szCs w:val="21"/>
        </w:rPr>
      </w:pPr>
      <w:r>
        <w:rPr>
          <w:rFonts w:ascii="宋体" w:hAnsi="宋体" w:cs="宋体" w:hint="eastAsia"/>
          <w:b/>
          <w:bCs/>
          <w:kern w:val="0"/>
          <w:szCs w:val="21"/>
        </w:rPr>
        <w:t>会议服务</w:t>
      </w:r>
    </w:p>
    <w:p>
      <w:pPr>
        <w:widowControl/>
        <w:snapToGrid w:val="0"/>
        <w:spacing w:line="420" w:lineRule="exact"/>
        <w:ind w:firstLine="105" w:firstLineChars="50"/>
        <w:jc w:val="left"/>
        <w:outlineLvl w:val="0"/>
        <w:rPr>
          <w:rFonts w:ascii="宋体" w:hAnsi="宋体" w:cs="宋体"/>
          <w:kern w:val="0"/>
          <w:szCs w:val="21"/>
        </w:rPr>
      </w:pPr>
      <w:r>
        <w:rPr>
          <w:rFonts w:ascii="宋体" w:hAnsi="宋体" w:cs="宋体" w:hint="eastAsia"/>
          <w:kern w:val="0"/>
          <w:szCs w:val="21"/>
        </w:rPr>
        <w:t>8.1 会议服务范围：甲方在大楼内召开或举行的各类会议、典礼、仪式、比赛等。</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8.2 会议服务内容与要求：按照会议活动的具体内容和甲方要求，做好会前准备、会中服务、会后整理等各项会务服务工作，确保会议顺利进行，保证会议环境安全、舒适。</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8.3需配备大型彩色打印机一台、小型彩色打印机一台、配备工作用电脑五台。</w:t>
      </w:r>
    </w:p>
    <w:p>
      <w:pPr>
        <w:widowControl/>
        <w:spacing w:line="420" w:lineRule="exact"/>
        <w:jc w:val="left"/>
        <w:outlineLvl w:val="0"/>
        <w:rPr>
          <w:rFonts w:ascii="宋体" w:hAnsi="宋体" w:cs="宋体"/>
          <w:b/>
          <w:bCs/>
          <w:kern w:val="0"/>
          <w:szCs w:val="21"/>
        </w:rPr>
      </w:pPr>
      <w:r>
        <w:rPr>
          <w:rFonts w:ascii="宋体" w:hAnsi="宋体" w:cs="宋体" w:hint="eastAsia"/>
          <w:b/>
          <w:bCs/>
          <w:kern w:val="0"/>
          <w:szCs w:val="21"/>
        </w:rPr>
        <w:t>9、理疗室、档案室、文体中心、多功能厅等公共场所服务内容</w:t>
      </w:r>
    </w:p>
    <w:p>
      <w:pPr>
        <w:widowControl/>
        <w:spacing w:line="420" w:lineRule="exact"/>
        <w:jc w:val="left"/>
        <w:rPr>
          <w:rFonts w:ascii="宋体" w:hAnsi="宋体" w:cs="宋体"/>
          <w:bCs/>
          <w:kern w:val="0"/>
          <w:szCs w:val="21"/>
        </w:rPr>
      </w:pPr>
      <w:r>
        <w:rPr>
          <w:rFonts w:ascii="宋体" w:hAnsi="宋体" w:cs="宋体" w:hint="eastAsia"/>
          <w:kern w:val="0"/>
          <w:szCs w:val="21"/>
        </w:rPr>
        <w:t xml:space="preserve"> 9.</w:t>
      </w:r>
      <w:r>
        <w:rPr>
          <w:rFonts w:ascii="宋体" w:hAnsi="宋体" w:cs="宋体" w:hint="eastAsia"/>
          <w:bCs/>
          <w:kern w:val="0"/>
          <w:szCs w:val="21"/>
        </w:rPr>
        <w:t>1 公共场所服务范围：按照甲方要求开放时间保证各项需求服务的提供。</w:t>
      </w:r>
    </w:p>
    <w:p>
      <w:pPr>
        <w:widowControl/>
        <w:spacing w:line="420" w:lineRule="exact"/>
        <w:jc w:val="left"/>
        <w:rPr>
          <w:rFonts w:ascii="宋体" w:hAnsi="宋体" w:cs="宋体"/>
          <w:kern w:val="0"/>
          <w:szCs w:val="21"/>
        </w:rPr>
      </w:pPr>
      <w:r>
        <w:rPr>
          <w:rFonts w:ascii="宋体" w:hAnsi="宋体" w:cs="宋体" w:hint="eastAsia"/>
          <w:bCs/>
          <w:kern w:val="0"/>
          <w:szCs w:val="21"/>
        </w:rPr>
        <w:t xml:space="preserve"> </w:t>
      </w:r>
      <w:r>
        <w:rPr>
          <w:rFonts w:ascii="宋体" w:hAnsi="宋体" w:cs="宋体" w:hint="eastAsia"/>
          <w:kern w:val="0"/>
          <w:szCs w:val="21"/>
        </w:rPr>
        <w:t>9.</w:t>
      </w:r>
      <w:r>
        <w:rPr>
          <w:rFonts w:ascii="宋体" w:hAnsi="宋体" w:cs="宋体" w:hint="eastAsia"/>
          <w:bCs/>
          <w:kern w:val="0"/>
          <w:szCs w:val="21"/>
        </w:rPr>
        <w:t>2 公共场所服务</w:t>
      </w:r>
      <w:r>
        <w:rPr>
          <w:rFonts w:ascii="宋体" w:hAnsi="宋体" w:cs="宋体" w:hint="eastAsia"/>
          <w:kern w:val="0"/>
          <w:szCs w:val="21"/>
        </w:rPr>
        <w:t>内容与要求：按照公关场所活动的具体内容和甲方要求，做好公关场所使用前准备、使用中提供相关服务、使用结束后整理好各项服务设备，确保公共场所环境安全、舒适。</w:t>
      </w:r>
    </w:p>
    <w:p>
      <w:pPr>
        <w:widowControl/>
        <w:spacing w:line="420" w:lineRule="exact"/>
        <w:jc w:val="left"/>
        <w:rPr>
          <w:rFonts w:ascii="宋体" w:hAnsi="宋体" w:cs="宋体"/>
          <w:kern w:val="0"/>
          <w:szCs w:val="21"/>
        </w:rPr>
      </w:pPr>
      <w:r>
        <w:rPr>
          <w:rFonts w:ascii="宋体" w:hAnsi="宋体" w:cs="宋体" w:hint="eastAsia"/>
          <w:kern w:val="0"/>
          <w:szCs w:val="21"/>
        </w:rPr>
        <w:t>9.3  严格遵守甲方相关规章制度。</w:t>
      </w:r>
    </w:p>
    <w:p>
      <w:pPr>
        <w:widowControl/>
        <w:snapToGrid w:val="0"/>
        <w:spacing w:line="420" w:lineRule="exact"/>
        <w:jc w:val="left"/>
        <w:outlineLvl w:val="0"/>
        <w:rPr>
          <w:rFonts w:ascii="宋体" w:hAnsi="宋体" w:cs="宋体"/>
          <w:color w:val="0D0D0D"/>
          <w:kern w:val="0"/>
          <w:szCs w:val="21"/>
        </w:rPr>
      </w:pPr>
      <w:r>
        <w:rPr>
          <w:rFonts w:ascii="宋体" w:hAnsi="宋体" w:cs="宋体" w:hint="eastAsia"/>
          <w:b/>
          <w:bCs/>
          <w:color w:val="0D0D0D"/>
          <w:kern w:val="0"/>
          <w:szCs w:val="21"/>
        </w:rPr>
        <w:t xml:space="preserve">10、其它服务事项 </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 xml:space="preserve">10.1 重大活动无偿提供协助及服务； </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 xml:space="preserve">10.2 邮件、报刊的收发； </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 xml:space="preserve">10.3 无偿提供搬运小型家具、办公用品等其它零星搬运工作； </w:t>
      </w:r>
    </w:p>
    <w:p>
      <w:pPr>
        <w:widowControl/>
        <w:spacing w:line="420" w:lineRule="exact"/>
        <w:ind w:left="420" w:hanging="315" w:leftChars="50" w:hangingChars="150"/>
        <w:jc w:val="left"/>
        <w:rPr>
          <w:rFonts w:ascii="宋体" w:hAnsi="宋体" w:cs="宋体"/>
          <w:kern w:val="0"/>
          <w:szCs w:val="21"/>
        </w:rPr>
      </w:pPr>
      <w:r>
        <w:rPr>
          <w:rFonts w:ascii="宋体" w:hAnsi="宋体" w:cs="宋体" w:hint="eastAsia"/>
          <w:kern w:val="0"/>
          <w:szCs w:val="21"/>
        </w:rPr>
        <w:t>10.4 采购单位无偿提供物业管理公司30平方办公场所。</w:t>
      </w:r>
    </w:p>
    <w:p>
      <w:pPr>
        <w:rPr>
          <w:b/>
          <w:sz w:val="24"/>
        </w:rPr>
      </w:pPr>
    </w:p>
    <w:p>
      <w:pPr>
        <w:rPr>
          <w:b/>
          <w:sz w:val="24"/>
        </w:rPr>
      </w:pPr>
    </w:p>
    <w:p>
      <w:pPr>
        <w:rPr>
          <w:b/>
          <w:sz w:val="24"/>
        </w:rPr>
      </w:pPr>
    </w:p>
    <w:p>
      <w:pPr>
        <w:pStyle w:val="Heading2"/>
        <w:spacing w:before="120" w:beforeLines="50" w:after="120" w:afterLines="50"/>
      </w:pPr>
      <w:r>
        <w:rPr>
          <w:rFonts w:hint="eastAsia"/>
          <w:szCs w:val="24"/>
        </w:rPr>
        <w:t>六、商务要求</w:t>
      </w:r>
    </w:p>
    <w:p>
      <w:pPr>
        <w:widowControl/>
        <w:jc w:val="left"/>
        <w:rPr>
          <w:rFonts w:ascii="宋体" w:hAnsi="宋体" w:eastAsiaTheme="majorEastAsia" w:cs="宋体"/>
          <w:kern w:val="0"/>
          <w:szCs w:val="21"/>
        </w:rPr>
      </w:pPr>
      <w:r>
        <w:rPr>
          <w:rFonts w:hint="eastAsia"/>
        </w:rPr>
        <w:t>1、</w:t>
      </w:r>
      <w:r>
        <w:rPr>
          <w:rFonts w:ascii="宋体" w:hAnsi="宋体" w:cs="宋体" w:hint="eastAsia"/>
          <w:kern w:val="0"/>
          <w:szCs w:val="21"/>
        </w:rPr>
        <w:t>履约时间：</w:t>
      </w:r>
      <w:r>
        <w:rPr>
          <w:rFonts w:asciiTheme="majorEastAsia" w:eastAsiaTheme="majorEastAsia" w:hAnsiTheme="majorEastAsia" w:cstheme="majorEastAsia" w:hint="eastAsia"/>
        </w:rPr>
        <w:t>本项目合同期限为一年，具体以合同签订日期为准。</w:t>
      </w:r>
    </w:p>
    <w:p>
      <w:pPr>
        <w:widowControl/>
        <w:spacing w:line="420" w:lineRule="exact"/>
        <w:jc w:val="left"/>
        <w:rPr>
          <w:rFonts w:ascii="宋体" w:hAnsi="宋体" w:cs="宋体"/>
          <w:kern w:val="0"/>
          <w:szCs w:val="21"/>
        </w:rPr>
      </w:pPr>
      <w:r>
        <w:rPr>
          <w:rFonts w:ascii="宋体" w:hAnsi="宋体" w:cs="宋体" w:hint="eastAsia"/>
          <w:kern w:val="0"/>
          <w:szCs w:val="21"/>
        </w:rPr>
        <w:t>2、服务地点：深圳市福田区梅林路2号深圳市残疾人综合服务大楼</w:t>
      </w:r>
    </w:p>
    <w:p>
      <w:pPr>
        <w:widowControl/>
        <w:spacing w:line="420" w:lineRule="exact"/>
        <w:jc w:val="left"/>
        <w:rPr>
          <w:rFonts w:ascii="宋体" w:hAnsi="宋体" w:cs="宋体"/>
          <w:kern w:val="0"/>
          <w:szCs w:val="21"/>
        </w:rPr>
      </w:pPr>
      <w:r>
        <w:rPr>
          <w:rFonts w:ascii="宋体" w:hAnsi="宋体" w:cs="宋体" w:hint="eastAsia"/>
          <w:kern w:val="0"/>
          <w:szCs w:val="21"/>
        </w:rPr>
        <w:t>3、合同方式：本项目按一年总价计签订合同。按月包干单价不做调整；</w:t>
      </w:r>
      <w:r>
        <w:rPr>
          <w:rStyle w:val="CommentReference"/>
          <w:rFonts w:ascii="宋体" w:hint="eastAsia"/>
          <w:kern w:val="0"/>
        </w:rPr>
        <w:t>该项目为长期服务项目，合同期满可以续签，但合同履行期限最长不超过三十六个月，如甲方对履约情况不满意，甲方不再续约。</w:t>
      </w:r>
    </w:p>
    <w:p>
      <w:pPr>
        <w:widowControl/>
        <w:spacing w:line="420" w:lineRule="exact"/>
        <w:jc w:val="left"/>
        <w:rPr>
          <w:rFonts w:ascii="宋体" w:hAnsi="宋体" w:cs="宋体"/>
          <w:kern w:val="0"/>
          <w:szCs w:val="21"/>
        </w:rPr>
      </w:pPr>
      <w:r>
        <w:rPr>
          <w:rFonts w:ascii="宋体" w:hAnsi="宋体" w:cs="宋体" w:hint="eastAsia"/>
          <w:kern w:val="0"/>
          <w:szCs w:val="21"/>
        </w:rPr>
        <w:t>4、付款方式：按月结算每月15日为上月管理服务费结算日，凭承包方完税发票，由甲方签署付款凭证,办理付款手续。</w:t>
      </w:r>
    </w:p>
    <w:p>
      <w:pPr>
        <w:pStyle w:val="TOC2"/>
        <w:ind w:left="0"/>
      </w:pPr>
      <w:r>
        <w:rPr>
          <w:rFonts w:ascii="宋体" w:hAnsi="宋体" w:cs="宋体" w:hint="eastAsia"/>
          <w:kern w:val="0"/>
          <w:szCs w:val="21"/>
        </w:rPr>
        <w:t>5、验收方式：按照采购方招标文件要求进行验收。</w:t>
      </w:r>
    </w:p>
    <w:p>
      <w:pPr>
        <w:widowControl/>
        <w:spacing w:line="420" w:lineRule="exact"/>
        <w:jc w:val="left"/>
        <w:rPr>
          <w:rFonts w:ascii="宋体" w:hAnsi="宋体" w:cs="宋体"/>
          <w:kern w:val="0"/>
          <w:szCs w:val="21"/>
        </w:rPr>
      </w:pPr>
      <w:r>
        <w:rPr>
          <w:rFonts w:ascii="宋体" w:hAnsi="宋体" w:cs="宋体" w:hint="eastAsia"/>
          <w:kern w:val="0"/>
          <w:szCs w:val="21"/>
        </w:rPr>
        <w:t>6、违约责任：</w:t>
      </w:r>
    </w:p>
    <w:p>
      <w:pPr>
        <w:widowControl/>
        <w:spacing w:line="420" w:lineRule="exact"/>
        <w:jc w:val="left"/>
        <w:rPr>
          <w:rFonts w:ascii="宋体" w:hAnsi="宋体" w:cs="宋体"/>
          <w:kern w:val="0"/>
          <w:szCs w:val="21"/>
        </w:rPr>
      </w:pPr>
      <w:r>
        <w:rPr>
          <w:rFonts w:ascii="宋体" w:hAnsi="宋体" w:cs="宋体" w:hint="eastAsia"/>
          <w:kern w:val="0"/>
          <w:szCs w:val="21"/>
        </w:rPr>
        <w:t>（1）、如因甲方原因，造成乙方未完成规定管理目标的，甲方不得追究乙方该部分责任，若因此造成乙方经济损失的，甲方应给予乙方中标价10%相应补偿。</w:t>
      </w:r>
    </w:p>
    <w:p>
      <w:pPr>
        <w:widowControl/>
        <w:spacing w:line="420" w:lineRule="exact"/>
        <w:rPr>
          <w:rFonts w:ascii="宋体" w:hAnsi="宋体" w:cs="宋体"/>
          <w:kern w:val="0"/>
          <w:szCs w:val="21"/>
        </w:rPr>
      </w:pPr>
      <w:r>
        <w:rPr>
          <w:rFonts w:ascii="宋体" w:hAnsi="宋体" w:cs="宋体" w:hint="eastAsia"/>
          <w:kern w:val="0"/>
          <w:szCs w:val="21"/>
        </w:rPr>
        <w:t>（2）、如因乙方原因，造成不能完成管理目标或直接造成甲方经济损失的，乙方应给予甲方中标价10%相应补偿。</w:t>
      </w:r>
    </w:p>
    <w:p>
      <w:pPr>
        <w:widowControl/>
        <w:spacing w:line="420" w:lineRule="exact"/>
        <w:jc w:val="left"/>
        <w:rPr>
          <w:rFonts w:ascii="宋体" w:hAnsi="宋体" w:cs="宋体"/>
          <w:kern w:val="0"/>
          <w:szCs w:val="21"/>
        </w:rPr>
      </w:pPr>
      <w:r>
        <w:rPr>
          <w:rFonts w:ascii="宋体" w:hAnsi="宋体" w:cs="宋体" w:hint="eastAsia"/>
          <w:kern w:val="0"/>
          <w:szCs w:val="21"/>
        </w:rPr>
        <w:t>7、争议解决方法：本合同在履行中如发生争议，双方应协商解决，协商不成时，提请物业管理主管部门调解，调解不成的，双方均有权向深圳市福田区人民法院提起诉讼。</w:t>
      </w:r>
    </w:p>
    <w:p>
      <w:pPr>
        <w:ind w:firstLine="420" w:firstLineChars="200"/>
        <w:rPr>
          <w:rFonts w:asciiTheme="minorEastAsia" w:eastAsiaTheme="minorEastAsia" w:hAnsiTheme="minorEastAsia" w:cs="仿宋_GB2312"/>
          <w:szCs w:val="21"/>
        </w:rPr>
      </w:pPr>
      <w:bookmarkStart w:id="34" w:name="_Hlk72167863"/>
    </w:p>
    <w:p>
      <w:bookmarkEnd w:id="34"/>
    </w:p>
    <w:p>
      <w:pPr>
        <w:pStyle w:val="Heading2"/>
        <w:spacing w:before="120" w:beforeLines="50" w:after="120" w:afterLines="50"/>
        <w:rPr>
          <w:szCs w:val="24"/>
        </w:rPr>
      </w:pPr>
      <w:r>
        <w:rPr>
          <w:rFonts w:hint="eastAsia"/>
          <w:szCs w:val="24"/>
        </w:rPr>
        <w:t>七、其他重要条款</w:t>
      </w:r>
    </w:p>
    <w:p>
      <w:pPr>
        <w:ind w:firstLine="420" w:firstLineChars="200"/>
        <w:rPr>
          <w:bCs/>
          <w:szCs w:val="21"/>
        </w:rPr>
      </w:pPr>
      <w:bookmarkStart w:id="35"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、除政府采购合同继续履行将损害国家利益和社会公共利益外，双方当事人不得擅自变更、中止或者终止合同。</w:t>
      </w:r>
      <w:bookmarkEnd w:id="35"/>
      <w:r>
        <w:br w:type="page"/>
      </w:r>
    </w:p>
    <w:p>
      <w:pPr>
        <w:pStyle w:val="Heading2"/>
        <w:rPr>
          <w:kern w:val="2"/>
        </w:rPr>
      </w:pPr>
      <w:r>
        <w:rPr>
          <w:rFonts w:hint="eastAsia"/>
          <w:kern w:val="2"/>
        </w:rPr>
        <w:t>第四章 投标文件组成要求及格式</w:t>
      </w:r>
    </w:p>
    <w:p>
      <w:pPr>
        <w:rPr>
          <w:rStyle w:val="3Char"/>
          <w:sz w:val="24"/>
        </w:rPr>
      </w:pPr>
      <w:r>
        <w:rPr>
          <w:rStyle w:val="3Char"/>
          <w:rFonts w:hint="eastAsia"/>
          <w:sz w:val="24"/>
        </w:rPr>
        <w:t>特别提醒：</w:t>
      </w:r>
    </w:p>
    <w:p>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20" w:firstLineChars="200"/>
        <w:rPr>
          <w:rFonts w:ascii="仿宋_GB2312" w:eastAsia="仿宋_GB2312"/>
          <w:sz w:val="24"/>
        </w:rPr>
      </w:pPr>
      <w:bookmarkStart w:id="3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ind w:firstLine="420" w:firstLineChars="200"/>
        <w:rPr>
          <w:rFonts w:ascii="仿宋_GB2312" w:eastAsia="仿宋_GB2312"/>
          <w:sz w:val="24"/>
        </w:rPr>
      </w:pPr>
      <w:bookmarkEnd w:id="36"/>
    </w:p>
    <w:p>
      <w:pPr>
        <w:ind w:firstLine="420" w:firstLineChars="200"/>
        <w:rPr>
          <w:rFonts w:ascii="宋体" w:hAnsi="宋体"/>
          <w:b/>
          <w:sz w:val="24"/>
        </w:rPr>
      </w:pPr>
    </w:p>
    <w:p>
      <w:pPr>
        <w:widowControl/>
        <w:jc w:val="left"/>
        <w:rPr>
          <w:rFonts w:ascii="宋体" w:hAnsi="宋体"/>
          <w:sz w:val="24"/>
        </w:rPr>
      </w:pPr>
      <w:r>
        <w:rPr>
          <w:rFonts w:ascii="宋体" w:hAnsi="宋体"/>
          <w:sz w:val="24"/>
        </w:rPr>
        <w:br w:type="page"/>
      </w:r>
    </w:p>
    <w:p>
      <w:pPr>
        <w:rPr>
          <w:rFonts w:ascii="宋体" w:hAnsi="宋体"/>
          <w:sz w:val="24"/>
        </w:rPr>
      </w:pPr>
      <w:r>
        <w:rPr>
          <w:rFonts w:ascii="宋体" w:hAnsi="宋体" w:hint="eastAsia"/>
          <w:sz w:val="24"/>
        </w:rPr>
        <w:t>投标文件组成：</w:t>
      </w:r>
    </w:p>
    <w:p>
      <w:pPr>
        <w:ind w:firstLine="1050" w:firstLineChars="500"/>
        <w:outlineLvl w:val="0"/>
        <w:rPr>
          <w:rFonts w:ascii="宋体" w:hAnsi="宋体"/>
          <w:sz w:val="24"/>
        </w:rPr>
      </w:pPr>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718" w:firstLine="699" w:leftChars="342" w:firstLineChars="333"/>
        <w:rPr>
          <w:szCs w:val="21"/>
        </w:rPr>
      </w:pPr>
      <w:r>
        <w:rPr>
          <w:rFonts w:hint="eastAsia"/>
          <w:szCs w:val="21"/>
        </w:rPr>
        <w:t>（1）</w:t>
      </w:r>
      <w:bookmarkStart w:id="37" w:name="_Hlk72070784"/>
      <w:r>
        <w:rPr>
          <w:rFonts w:hint="eastAsia"/>
          <w:szCs w:val="21"/>
        </w:rPr>
        <w:t>投标函</w:t>
      </w:r>
      <w:bookmarkEnd w:id="37"/>
    </w:p>
    <w:p>
      <w:pPr>
        <w:ind w:left="718" w:firstLine="699" w:leftChars="342" w:firstLineChars="333"/>
        <w:rPr>
          <w:szCs w:val="21"/>
        </w:rPr>
      </w:pPr>
      <w:r>
        <w:rPr>
          <w:rFonts w:hint="eastAsia"/>
          <w:szCs w:val="21"/>
        </w:rPr>
        <w:t>（2）</w:t>
      </w:r>
      <w:bookmarkStart w:id="38" w:name="_Hlk72062521"/>
      <w:r>
        <w:rPr>
          <w:rFonts w:hint="eastAsia"/>
          <w:szCs w:val="21"/>
        </w:rPr>
        <w:t>政府采购投标及履约承诺函</w:t>
      </w:r>
      <w:bookmarkEnd w:id="38"/>
    </w:p>
    <w:p>
      <w:pPr>
        <w:ind w:left="718" w:firstLine="699" w:leftChars="342" w:firstLineChars="333"/>
        <w:rPr>
          <w:szCs w:val="21"/>
        </w:rPr>
      </w:pPr>
      <w:r>
        <w:rPr>
          <w:rFonts w:hint="eastAsia"/>
          <w:szCs w:val="21"/>
        </w:rPr>
        <w:t>（</w:t>
      </w:r>
      <w:r>
        <w:rPr>
          <w:szCs w:val="21"/>
        </w:rPr>
        <w:t>3</w:t>
      </w:r>
      <w:r>
        <w:rPr>
          <w:rFonts w:hint="eastAsia"/>
          <w:szCs w:val="21"/>
        </w:rPr>
        <w:t>）投标人情况及资格证明文件</w:t>
      </w:r>
    </w:p>
    <w:p>
      <w:pPr>
        <w:ind w:left="718" w:firstLine="699" w:leftChars="342" w:firstLineChars="333"/>
        <w:rPr>
          <w:szCs w:val="21"/>
        </w:rPr>
      </w:pPr>
      <w:bookmarkStart w:id="39" w:name="_Hlk72257201"/>
      <w:r>
        <w:rPr>
          <w:rFonts w:hint="eastAsia"/>
          <w:szCs w:val="21"/>
        </w:rPr>
        <w:t>（</w:t>
      </w:r>
      <w:r>
        <w:rPr>
          <w:szCs w:val="21"/>
        </w:rPr>
        <w:t>4</w:t>
      </w:r>
      <w:r>
        <w:rPr>
          <w:rFonts w:hint="eastAsia"/>
          <w:szCs w:val="21"/>
        </w:rPr>
        <w:t>）项目详细报价</w:t>
      </w:r>
    </w:p>
    <w:p>
      <w:pPr>
        <w:ind w:firstLine="1418" w:firstLineChars="675"/>
        <w:rPr>
          <w:szCs w:val="21"/>
        </w:rPr>
      </w:pPr>
      <w:r>
        <w:rPr>
          <w:rFonts w:ascii="宋体" w:hAnsi="宋体" w:cs="宋体" w:hint="eastAsia"/>
          <w:szCs w:val="21"/>
        </w:rPr>
        <w:t>（5）供应商认证情况</w:t>
      </w:r>
      <w:r>
        <w:rPr>
          <w:rFonts w:ascii="宋体" w:hAnsi="宋体" w:hint="eastAsia"/>
          <w:szCs w:val="21"/>
        </w:rPr>
        <w:t>（格式自定）</w:t>
      </w:r>
    </w:p>
    <w:p>
      <w:pPr>
        <w:ind w:firstLine="1418" w:firstLineChars="675"/>
        <w:rPr>
          <w:szCs w:val="21"/>
        </w:rPr>
      </w:pPr>
      <w:r>
        <w:rPr>
          <w:rFonts w:ascii="宋体" w:hAnsi="宋体" w:cs="宋体" w:hint="eastAsia"/>
          <w:szCs w:val="21"/>
        </w:rPr>
        <w:t>（6）</w:t>
      </w:r>
      <w:r>
        <w:rPr>
          <w:rFonts w:ascii="宋体" w:hAnsi="宋体" w:hint="eastAsia"/>
          <w:szCs w:val="21"/>
        </w:rPr>
        <w:t>供应商同类项目业绩情况（格式自定）</w:t>
      </w:r>
    </w:p>
    <w:p>
      <w:pPr>
        <w:ind w:firstLine="1418" w:firstLineChars="675"/>
        <w:rPr>
          <w:szCs w:val="21"/>
        </w:rPr>
      </w:pPr>
      <w:r>
        <w:rPr>
          <w:rFonts w:ascii="宋体" w:hAnsi="宋体" w:hint="eastAsia"/>
          <w:szCs w:val="21"/>
        </w:rPr>
        <w:t>（7）供应商获奖情况（格式自定）</w:t>
      </w:r>
    </w:p>
    <w:p>
      <w:pPr>
        <w:ind w:firstLine="1418" w:firstLineChars="675"/>
        <w:rPr>
          <w:szCs w:val="21"/>
        </w:rPr>
      </w:pPr>
      <w:r>
        <w:rPr>
          <w:rFonts w:ascii="宋体" w:hAnsi="宋体" w:hint="eastAsia"/>
          <w:szCs w:val="21"/>
        </w:rPr>
        <w:t>（8）供应商自主知识产权产品（创新、设计）情况（格式自定）</w:t>
      </w:r>
    </w:p>
    <w:p>
      <w:pPr>
        <w:ind w:firstLine="1418" w:firstLineChars="675"/>
        <w:rPr>
          <w:rFonts w:ascii="宋体" w:hAnsi="宋体"/>
          <w:szCs w:val="21"/>
        </w:rPr>
      </w:pPr>
      <w:r>
        <w:rPr>
          <w:rFonts w:ascii="宋体" w:hAnsi="宋体" w:hint="eastAsia"/>
          <w:szCs w:val="21"/>
        </w:rPr>
        <w:t>（9）服务网点</w:t>
      </w:r>
    </w:p>
    <w:p>
      <w:pPr>
        <w:ind w:left="718" w:firstLine="1418" w:leftChars="342" w:firstLineChars="675"/>
        <w:rPr>
          <w:szCs w:val="21"/>
        </w:rPr>
      </w:pPr>
    </w:p>
    <w:p>
      <w:pPr>
        <w:ind w:firstLine="1050" w:firstLineChars="500"/>
        <w:outlineLvl w:val="0"/>
        <w:rPr>
          <w:rFonts w:ascii="宋体" w:hAnsi="宋体"/>
          <w:sz w:val="24"/>
        </w:rPr>
      </w:pPr>
      <w:bookmarkEnd w:id="39"/>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1418" w:firstLineChars="675"/>
        <w:rPr>
          <w:szCs w:val="21"/>
        </w:rPr>
      </w:pPr>
      <w:r>
        <w:rPr>
          <w:rFonts w:hint="eastAsia"/>
          <w:szCs w:val="21"/>
        </w:rPr>
        <w:t>（1）法定代表人（负责人）证明书</w:t>
      </w:r>
    </w:p>
    <w:p>
      <w:pPr>
        <w:ind w:firstLine="1418" w:firstLineChars="675"/>
        <w:rPr>
          <w:szCs w:val="21"/>
        </w:rPr>
      </w:pPr>
      <w:r>
        <w:rPr>
          <w:rFonts w:hint="eastAsia"/>
          <w:szCs w:val="21"/>
        </w:rPr>
        <w:t>（2）投标文件签署授权委托书</w:t>
      </w:r>
    </w:p>
    <w:p>
      <w:pPr>
        <w:ind w:firstLine="1418" w:firstLineChars="675"/>
        <w:rPr>
          <w:szCs w:val="21"/>
        </w:rPr>
      </w:pPr>
      <w:r>
        <w:rPr>
          <w:rFonts w:hint="eastAsia"/>
          <w:szCs w:val="21"/>
        </w:rPr>
        <w:t>（3）</w:t>
      </w:r>
      <w:r>
        <w:rPr>
          <w:szCs w:val="21"/>
        </w:rPr>
        <w:t>实质性条款响应情况表</w:t>
      </w:r>
    </w:p>
    <w:p>
      <w:pPr>
        <w:ind w:firstLine="1418" w:firstLineChars="675"/>
        <w:rPr>
          <w:szCs w:val="21"/>
        </w:rPr>
      </w:pPr>
      <w:r>
        <w:rPr>
          <w:rFonts w:hint="eastAsia"/>
          <w:szCs w:val="21"/>
        </w:rPr>
        <w:t>（4）</w:t>
      </w:r>
      <w:r>
        <w:rPr>
          <w:rFonts w:ascii="宋体" w:hAnsi="宋体" w:hint="eastAsia"/>
          <w:szCs w:val="21"/>
        </w:rPr>
        <w:t>实施方案（格式自定）</w:t>
      </w:r>
    </w:p>
    <w:p>
      <w:pPr>
        <w:pStyle w:val="NormalIndent"/>
        <w:ind w:left="210" w:firstLine="1208" w:leftChars="100" w:firstLineChars="575"/>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）项目重点难点分析、应对措施及相关的合理化建议（格式自定）</w:t>
      </w:r>
    </w:p>
    <w:p>
      <w:pPr>
        <w:pStyle w:val="NormalIndent"/>
        <w:ind w:left="210" w:firstLine="1208" w:leftChars="100" w:firstLineChars="575"/>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）质量（完成时间、安全、环保）保障措施及方案（格式自定）</w:t>
      </w:r>
    </w:p>
    <w:p>
      <w:pPr>
        <w:pStyle w:val="NormalIndent"/>
        <w:ind w:left="210" w:firstLine="1208" w:leftChars="100" w:firstLineChars="575"/>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）项目完成（服务期满）后的服务承诺（格式自定）</w:t>
      </w:r>
    </w:p>
    <w:p>
      <w:pPr>
        <w:pStyle w:val="NormalIndent"/>
        <w:ind w:left="210" w:firstLine="1208" w:leftChars="100" w:firstLineChars="575"/>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）违约承诺（格式自定）</w:t>
      </w:r>
    </w:p>
    <w:p>
      <w:pPr>
        <w:pStyle w:val="NormalIndent"/>
        <w:spacing w:before="60" w:beforeLines="25" w:after="60" w:afterLines="25"/>
        <w:ind w:firstLine="1418" w:firstLineChars="675"/>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）拟安排的项目负责人情况（仅限一人）（格式自定）</w:t>
      </w:r>
    </w:p>
    <w:p>
      <w:pPr>
        <w:pStyle w:val="NormalIndent"/>
        <w:spacing w:before="60" w:beforeLines="25" w:after="60" w:afterLines="25"/>
        <w:ind w:left="1522" w:hanging="52" w:leftChars="700" w:hangingChars="25"/>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）拟安排的项目主要团队成员（主要技术人员）情况（项目负责人除外）（格式自定）</w:t>
      </w:r>
    </w:p>
    <w:p>
      <w:pPr>
        <w:pStyle w:val="NormalIndent"/>
        <w:spacing w:before="60" w:beforeLines="25" w:after="60" w:afterLines="25"/>
        <w:ind w:firstLine="1418" w:firstLineChars="675"/>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）拟投入的服务资源（车辆、场地、工具、机器等）情况（格式自定）</w:t>
      </w:r>
    </w:p>
    <w:p>
      <w:pPr>
        <w:pStyle w:val="NormalIndent"/>
        <w:spacing w:before="60" w:beforeLines="25" w:after="60" w:afterLines="25"/>
        <w:ind w:firstLine="1418" w:firstLineChars="675"/>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r>
        <w:rPr>
          <w:rFonts w:hint="eastAsia"/>
          <w:szCs w:val="21"/>
        </w:rPr>
        <w:t>投标人认为需要加以说明的其他内容（格式自定）</w:t>
      </w:r>
    </w:p>
    <w:p>
      <w:pPr>
        <w:rPr>
          <w:rFonts w:ascii="仿宋_GB2312" w:eastAsia="仿宋_GB2312"/>
          <w:sz w:val="24"/>
        </w:rPr>
      </w:pPr>
    </w:p>
    <w:p>
      <w:pPr>
        <w:ind w:firstLine="424" w:firstLineChars="202"/>
        <w:rPr>
          <w:rFonts w:ascii="宋体" w:hAnsi="宋体"/>
          <w:b/>
          <w:szCs w:val="21"/>
        </w:rPr>
      </w:pPr>
      <w:r>
        <w:rPr>
          <w:rFonts w:ascii="宋体" w:hAnsi="宋体" w:hint="eastAsia"/>
          <w:b/>
          <w:szCs w:val="21"/>
        </w:rPr>
        <w:t>备注：</w:t>
      </w:r>
    </w:p>
    <w:p>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24" w:firstLineChars="202"/>
        <w:rPr>
          <w:rFonts w:ascii="宋体" w:hAnsi="宋体"/>
          <w:b/>
          <w:szCs w:val="21"/>
        </w:rPr>
      </w:pPr>
      <w:r>
        <w:rPr>
          <w:rFonts w:ascii="宋体" w:hAnsi="宋体" w:hint="eastAsia"/>
          <w:b/>
          <w:szCs w:val="21"/>
        </w:rPr>
        <w:t>2.关于填写“开标一览表”的说明：“开标一览表”中除“投标报价”外，其他信息不作评审依据。</w:t>
      </w:r>
    </w:p>
    <w:p>
      <w:pPr>
        <w:jc w:val="left"/>
        <w:rPr>
          <w:rFonts w:ascii="宋体" w:hAnsi="宋体"/>
          <w:b/>
          <w:color w:val="FF0000"/>
          <w:sz w:val="36"/>
          <w:szCs w:val="36"/>
        </w:rPr>
      </w:pPr>
      <w:r>
        <w:rPr>
          <w:rFonts w:ascii="宋体" w:hAnsi="宋体" w:hint="eastAsia"/>
          <w:b/>
          <w:color w:val="FF0000"/>
          <w:sz w:val="36"/>
          <w:szCs w:val="36"/>
        </w:rPr>
        <w:br w:type="page"/>
      </w: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kern w:val="0"/>
          <w:sz w:val="24"/>
        </w:rPr>
      </w:pPr>
      <w:r>
        <w:rPr>
          <w:rFonts w:ascii="黑体" w:eastAsia="黑体" w:hint="eastAsia"/>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pPr>
        <w:ind w:firstLine="420" w:firstLineChars="20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ascii="宋体" w:hAnsi="宋体" w:hint="eastAsia"/>
          <w:szCs w:val="21"/>
        </w:rPr>
        <w:t>3、如果我单位中标，我单位将按照招标文件的要求提交履约担保。</w:t>
      </w:r>
    </w:p>
    <w:p>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left="525" w:hanging="105" w:leftChars="200" w:hangingChars="50"/>
        <w:rPr>
          <w:rFonts w:ascii="宋体" w:hAnsi="宋体"/>
          <w:szCs w:val="21"/>
        </w:rPr>
      </w:pPr>
      <w:r>
        <w:rPr>
          <w:rFonts w:ascii="宋体" w:hAnsi="宋体" w:hint="eastAsia"/>
          <w:szCs w:val="21"/>
        </w:rPr>
        <w:t>6、我单位理解贵单位将不受必须接受所收到的最低报价或其它任何投标文件的约束。</w:t>
      </w:r>
      <w:bookmarkEnd w:id="40"/>
    </w:p>
    <w:p>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40" w:firstLineChars="257"/>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pPr>
        <w:rPr>
          <w:rFonts w:ascii="黑体" w:eastAsia="黑体" w:hAnsi="宋体"/>
        </w:rPr>
      </w:pPr>
    </w:p>
    <w:p>
      <w:pPr>
        <w:rPr>
          <w:rFonts w:ascii="黑体" w:eastAsia="黑体" w:hAnsi="宋体"/>
        </w:rPr>
      </w:pPr>
    </w:p>
    <w:p>
      <w:pPr>
        <w:pStyle w:val="Heading3"/>
        <w:jc w:val="center"/>
        <w:rPr>
          <w:rFonts w:ascii="黑体" w:eastAsia="黑体"/>
          <w:b w:val="0"/>
          <w:kern w:val="0"/>
          <w:sz w:val="24"/>
        </w:rPr>
      </w:pPr>
      <w:r>
        <w:rPr>
          <w:rFonts w:ascii="黑体" w:eastAsia="黑体" w:hint="eastAsia"/>
          <w:b w:val="0"/>
          <w:kern w:val="0"/>
          <w:sz w:val="24"/>
        </w:rPr>
        <w:t>二、政府采购投标及履约承诺函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ascii="宋体" w:hAnsi="宋体" w:hint="eastAsia"/>
          <w:color w:val="000000" w:themeColor="text1"/>
          <w:szCs w:val="21"/>
          <w14:textFill>
            <w14:solidFill>
              <w14:schemeClr w14:val="tx1"/>
            </w14:solidFill>
          </w14:textFill>
        </w:rPr>
        <w:t>致：</w:t>
      </w:r>
      <w:r>
        <w:rPr>
          <w:rFonts w:ascii="宋体" w:hAnsi="宋体" w:hint="eastAsia"/>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ascii="宋体" w:hAnsi="宋体" w:hint="eastAsia"/>
          <w:szCs w:val="21"/>
        </w:rPr>
        <w:t>我单位承诺：</w:t>
      </w:r>
    </w:p>
    <w:p>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ascii="宋体" w:hAnsi="宋体" w:hint="eastAsia"/>
          <w:szCs w:val="21"/>
        </w:rPr>
        <w:t>4.我单位具备《中华人民共和国政府采购法》第二十二条的条件。</w:t>
      </w:r>
    </w:p>
    <w:p>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未被列入失信被执行人、重大税收违法案件当事人名单（重大税收违法失信主体）、政府采购严重违法失信行为记录名单</w:t>
      </w:r>
    </w:p>
    <w:p>
      <w:pPr>
        <w:ind w:firstLine="420" w:firstLineChars="20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20" w:firstLineChars="200"/>
        <w:rPr>
          <w:rFonts w:ascii="宋体" w:hAnsi="宋体"/>
        </w:rPr>
      </w:pPr>
      <w:r>
        <w:rPr>
          <w:rFonts w:ascii="宋体" w:hAnsi="宋体" w:hint="eastAsia"/>
        </w:rPr>
        <w:t>1</w:t>
      </w:r>
      <w:r>
        <w:rPr>
          <w:rFonts w:ascii="宋体" w:hAnsi="宋体"/>
        </w:rPr>
        <w:t>2.</w:t>
      </w:r>
      <w:r>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255"/>
          <w:numId w:val="0"/>
        </w:num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rPr>
      </w:pPr>
    </w:p>
    <w:p>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ascii="宋体" w:hAnsi="宋体" w:hint="eastAsia"/>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ascii="宋体" w:hAnsi="宋体" w:hint="eastAsia"/>
          <w:color w:val="000000" w:themeColor="text1"/>
          <w:szCs w:val="21"/>
          <w14:textFill>
            <w14:solidFill>
              <w14:schemeClr w14:val="tx1"/>
            </w14:solidFill>
          </w14:textFill>
        </w:rPr>
        <w:t xml:space="preserve">                                              日期：</w:t>
      </w:r>
      <w:r>
        <w:rPr>
          <w:rFonts w:ascii="宋体" w:hAnsi="宋体" w:hint="eastAsia"/>
          <w:color w:val="000000" w:themeColor="text1"/>
          <w:szCs w:val="21"/>
          <w:u w:val="single"/>
          <w14:textFill>
            <w14:solidFill>
              <w14:schemeClr w14:val="tx1"/>
            </w14:solidFill>
          </w14:textFill>
        </w:rPr>
        <w:t xml:space="preserve">    </w:t>
      </w:r>
      <w:r>
        <w:rPr>
          <w:rFonts w:ascii="宋体" w:hAnsi="宋体" w:hint="eastAsia"/>
          <w:color w:val="000000" w:themeColor="text1"/>
          <w:szCs w:val="21"/>
          <w14:textFill>
            <w14:solidFill>
              <w14:schemeClr w14:val="tx1"/>
            </w14:solidFill>
          </w14:textFill>
        </w:rPr>
        <w:t>年</w:t>
      </w:r>
      <w:r>
        <w:rPr>
          <w:rFonts w:ascii="宋体" w:hAnsi="宋体" w:hint="eastAsia"/>
          <w:color w:val="000000" w:themeColor="text1"/>
          <w:szCs w:val="21"/>
          <w:u w:val="single"/>
          <w14:textFill>
            <w14:solidFill>
              <w14:schemeClr w14:val="tx1"/>
            </w14:solidFill>
          </w14:textFill>
        </w:rPr>
        <w:t xml:space="preserve">   </w:t>
      </w:r>
      <w:r>
        <w:rPr>
          <w:rFonts w:ascii="宋体" w:hAnsi="宋体" w:hint="eastAsia"/>
          <w:color w:val="000000" w:themeColor="text1"/>
          <w:szCs w:val="21"/>
          <w14:textFill>
            <w14:solidFill>
              <w14:schemeClr w14:val="tx1"/>
            </w14:solidFill>
          </w14:textFill>
        </w:rPr>
        <w:t>月</w:t>
      </w:r>
      <w:r>
        <w:rPr>
          <w:rFonts w:ascii="宋体" w:hAnsi="宋体" w:hint="eastAsia"/>
          <w:color w:val="000000" w:themeColor="text1"/>
          <w:szCs w:val="21"/>
          <w:u w:val="single"/>
          <w14:textFill>
            <w14:solidFill>
              <w14:schemeClr w14:val="tx1"/>
            </w14:solidFill>
          </w14:textFill>
        </w:rPr>
        <w:t xml:space="preserve">   </w:t>
      </w:r>
      <w:r>
        <w:rPr>
          <w:rFonts w:ascii="宋体" w:hAnsi="宋体" w:hint="eastAsia"/>
          <w:color w:val="000000" w:themeColor="text1"/>
          <w:szCs w:val="21"/>
          <w14:textFill>
            <w14:solidFill>
              <w14:schemeClr w14:val="tx1"/>
            </w14:solidFill>
          </w14:textFill>
        </w:rPr>
        <w:t>日</w:t>
      </w:r>
    </w:p>
    <w:p/>
    <w:p/>
    <w:p>
      <w:pPr>
        <w:pStyle w:val="Heading3"/>
        <w:spacing w:before="120" w:after="120"/>
        <w:jc w:val="center"/>
        <w:rPr>
          <w:rFonts w:ascii="黑体" w:eastAsia="黑体"/>
          <w:b w:val="0"/>
          <w:kern w:val="0"/>
          <w:sz w:val="24"/>
        </w:rPr>
      </w:pPr>
      <w:r>
        <w:rPr>
          <w:rFonts w:ascii="黑体" w:eastAsia="黑体" w:hint="eastAsia"/>
          <w:b w:val="0"/>
          <w:kern w:val="0"/>
          <w:sz w:val="24"/>
        </w:rPr>
        <w:t>三、投标人情况及资格证明文件</w:t>
      </w:r>
    </w:p>
    <w:p>
      <w:pPr>
        <w:outlineLvl w:val="3"/>
        <w:rPr>
          <w:rFonts w:ascii="黑体" w:eastAsia="黑体" w:hAnsi="宋体"/>
          <w:bCs/>
          <w:kern w:val="0"/>
          <w:sz w:val="24"/>
          <w:szCs w:val="32"/>
        </w:rPr>
      </w:pPr>
      <w:r>
        <w:rPr>
          <w:rFonts w:ascii="黑体" w:eastAsia="黑体" w:hAnsi="宋体" w:hint="eastAsia"/>
          <w:bCs/>
          <w:kern w:val="0"/>
          <w:sz w:val="24"/>
          <w:szCs w:val="32"/>
        </w:rPr>
        <w:t>（一）投标人资格证明文件</w:t>
      </w:r>
    </w:p>
    <w:p>
      <w:pPr>
        <w:spacing w:before="120" w:beforeLines="50"/>
        <w:ind w:firstLine="42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20" w:firstLineChars="200"/>
        <w:outlineLvl w:val="3"/>
        <w:rPr>
          <w:rFonts w:ascii="黑体" w:eastAsia="黑体" w:hAnsi="宋体"/>
          <w:bCs/>
          <w:kern w:val="0"/>
          <w:sz w:val="24"/>
          <w:szCs w:val="32"/>
        </w:rPr>
      </w:pPr>
    </w:p>
    <w:p>
      <w:pPr>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pPr>
        <w:ind w:firstLine="420" w:firstLineChars="20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)《工业和信息化部、国家统计局、国家发展和改革委员会、财政部关于印发中小企业划型标准规定的通知》（工信部联企业〔2011〕300 号，以下简称3</w:t>
      </w:r>
      <w:r>
        <w:rPr>
          <w:rFonts w:ascii="黑体" w:eastAsia="黑体" w:hAnsi="黑体"/>
          <w:color w:val="FF0000"/>
          <w:szCs w:val="21"/>
        </w:rPr>
        <w:t>00</w:t>
      </w:r>
      <w:r>
        <w:rPr>
          <w:rFonts w:ascii="黑体" w:eastAsia="黑体" w:hAnsi="黑体" w:hint="eastAsia"/>
          <w:color w:val="FF0000"/>
          <w:szCs w:val="21"/>
        </w:rPr>
        <w:t>号文）。</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（2）声明是残疾人福利性单位须填写《残疾人福利性单位声明函》的相关内容（填写位置的字体已加粗），具体参照以上《中小企业声明函》填写要求执行。</w:t>
      </w:r>
    </w:p>
    <w:p>
      <w:pPr>
        <w:ind w:firstLine="420" w:firstLineChars="20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（3）声明是监狱企业须填写《监狱企业声明函》的相关内容（填写位置的字体已加粗），具体参照以上《中小企业声明函》填写要求执行。</w:t>
      </w:r>
    </w:p>
    <w:p>
      <w:pPr>
        <w:ind w:firstLine="420" w:firstLineChars="200"/>
        <w:outlineLvl w:val="3"/>
        <w:rPr>
          <w:rFonts w:ascii="宋体" w:hAnsi="宋体"/>
          <w:szCs w:val="21"/>
        </w:rPr>
      </w:pPr>
      <w:r>
        <w:rPr>
          <w:rFonts w:ascii="黑体" w:eastAsia="黑体" w:hAnsi="宋体" w:hint="eastAsia"/>
          <w:bCs/>
          <w:color w:val="FF0000"/>
          <w:kern w:val="0"/>
          <w:szCs w:val="21"/>
        </w:rPr>
        <w:t>5、本项目属于专门面向中小微企业采购，要求提供声明函作为依据，未提供声明函或声明内容不满足要求的，做资格审查不通过处理。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全部由符合政策要求的中小企业</w:t>
      </w:r>
      <w:r>
        <w:rPr>
          <w:rFonts w:ascii="宋体" w:hAnsi="宋体" w:hint="eastAsia"/>
          <w:szCs w:val="21"/>
        </w:rPr>
        <w:t>承接</w:t>
      </w:r>
      <w:r>
        <w:rPr>
          <w:rFonts w:ascii="宋体" w:hAnsi="宋体"/>
          <w:szCs w:val="21"/>
        </w:rPr>
        <w:t>。相关企业的具体情况如下：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rPr>
          <w:rFonts w:ascii="宋体" w:hAnsi="宋体"/>
          <w:bCs/>
          <w:color w:val="FF0000"/>
          <w:kern w:val="0"/>
          <w:szCs w:val="21"/>
        </w:rPr>
      </w:pPr>
      <w:bookmarkStart w:id="42" w:name="_Hlk73562275"/>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2"/>
    </w:p>
    <w:p>
      <w:pPr>
        <w:ind w:firstLine="420" w:firstLineChars="200"/>
      </w:pPr>
    </w:p>
    <w:p>
      <w:pPr>
        <w:jc w:val="center"/>
        <w:outlineLvl w:val="3"/>
        <w:rPr>
          <w:b/>
          <w:sz w:val="24"/>
        </w:rPr>
      </w:pPr>
      <w:r>
        <w:rPr>
          <w:rFonts w:hint="eastAsia"/>
          <w:b/>
          <w:sz w:val="24"/>
        </w:rPr>
        <w:t>2、残疾人福利性单位声明函（服务类）</w:t>
      </w:r>
    </w:p>
    <w:p>
      <w:pPr>
        <w:rPr>
          <w:b/>
          <w:bCs/>
        </w:rPr>
      </w:pPr>
    </w:p>
    <w:p>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残疾人福利性单位承接</w:t>
      </w:r>
      <w:r>
        <w:rPr>
          <w:rFonts w:ascii="宋体" w:hAnsi="宋体"/>
          <w:szCs w:val="21"/>
        </w:rPr>
        <w:t>。相关</w:t>
      </w:r>
      <w:r>
        <w:rPr>
          <w:rFonts w:ascii="宋体" w:hAnsi="宋体" w:hint="eastAsia"/>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，承接企业</w:t>
      </w:r>
      <w:r>
        <w:rPr>
          <w:rFonts w:ascii="宋体" w:hAnsi="宋体"/>
          <w:szCs w:val="21"/>
        </w:rPr>
        <w:t>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ind w:left="723" w:hanging="630" w:hangingChars="300"/>
        <w:rPr>
          <w:b/>
          <w:sz w:val="24"/>
        </w:rPr>
      </w:pPr>
    </w:p>
    <w:p>
      <w:pPr>
        <w:ind w:left="723" w:hanging="630" w:hangingChars="300"/>
        <w:rPr>
          <w:b/>
          <w:sz w:val="24"/>
        </w:rPr>
      </w:pPr>
    </w:p>
    <w:p>
      <w:pPr>
        <w:pStyle w:val="Heading3"/>
        <w:jc w:val="center"/>
        <w:rPr>
          <w:rFonts w:ascii="黑体" w:eastAsia="黑体"/>
          <w:b w:val="0"/>
          <w:sz w:val="24"/>
          <w:szCs w:val="24"/>
        </w:rPr>
      </w:pPr>
      <w:r>
        <w:rPr>
          <w:rFonts w:ascii="黑体" w:eastAsia="黑体" w:hint="eastAsia"/>
          <w:b w:val="0"/>
          <w:sz w:val="24"/>
          <w:szCs w:val="24"/>
        </w:rPr>
        <w:t>四、项目详细报价</w:t>
      </w:r>
    </w:p>
    <w:p>
      <w:pPr>
        <w:ind w:firstLine="420" w:firstLineChars="200"/>
        <w:rPr>
          <w:rFonts w:hAnsi="宋体"/>
          <w:b/>
          <w:bCs/>
          <w:sz w:val="24"/>
        </w:rPr>
      </w:pPr>
    </w:p>
    <w:p>
      <w:pPr>
        <w:pStyle w:val="BodyText2"/>
        <w:jc w:val="center"/>
      </w:pPr>
      <w:r>
        <w:rPr>
          <w:rFonts w:hint="eastAsia"/>
          <w:b/>
          <w:bCs/>
        </w:rPr>
        <w:t>（一）</w:t>
      </w:r>
      <w:r>
        <w:rPr>
          <w:rFonts w:hint="eastAsia"/>
          <w:b/>
        </w:rPr>
        <w:t>分项报价表</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46"/>
        <w:gridCol w:w="2625"/>
        <w:gridCol w:w="2034"/>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rPr>
            </w:pPr>
            <w:r>
              <w:rPr>
                <w:rFonts w:ascii="宋体" w:hAnsi="宋体" w:hint="eastAsia"/>
                <w:snapToGrid w:val="0"/>
                <w:kern w:val="0"/>
                <w:sz w:val="24"/>
                <w:szCs w:val="21"/>
              </w:rPr>
              <w:t>项目名称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rPr>
            </w:pPr>
            <w:r>
              <w:rPr>
                <w:rFonts w:ascii="宋体" w:hAnsi="宋体" w:hint="eastAsia"/>
                <w:snapToGrid w:val="0"/>
                <w:kern w:val="0"/>
                <w:sz w:val="24"/>
                <w:szCs w:val="21"/>
              </w:rPr>
              <w:t>投标报价（元）</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hAnsi="宋体"/>
                <w:snapToGrid w:val="0"/>
                <w:kern w:val="0"/>
                <w:sz w:val="24"/>
                <w:szCs w:val="21"/>
              </w:rPr>
            </w:pPr>
            <w:r>
              <w:rPr>
                <w:rFonts w:ascii="宋体" w:hAnsi="宋体" w:hint="eastAsia"/>
                <w:snapToGrid w:val="0"/>
                <w:kern w:val="0"/>
                <w:sz w:val="24"/>
                <w:szCs w:val="21"/>
              </w:rPr>
              <w:t>备注</w:t>
            </w:r>
          </w:p>
        </w:tc>
      </w:tr>
      <w:tr>
        <w:tblPrEx>
          <w:tblW w:w="0" w:type="auto"/>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ascii="宋体" w:hAnsi="宋体" w:hint="eastAsia"/>
                <w:snapToGrid w:val="0"/>
                <w:kern w:val="0"/>
                <w:sz w:val="24"/>
                <w:szCs w:val="21"/>
                <w:u w:val="single"/>
              </w:rPr>
              <w:t xml:space="preserve">                 项目</w:t>
            </w:r>
          </w:p>
        </w:tc>
        <w:tc>
          <w:tcPr>
            <w:tcW w:w="2625" w:type="dxa"/>
            <w:tcBorders>
              <w:top w:val="single" w:sz="4" w:space="0" w:color="auto"/>
            </w:tcBorders>
            <w:vAlign w:val="center"/>
          </w:tcPr>
          <w:p>
            <w:pPr>
              <w:widowControl/>
              <w:adjustRightInd w:val="0"/>
              <w:snapToGrid w:val="0"/>
              <w:spacing w:line="300" w:lineRule="auto"/>
              <w:jc w:val="left"/>
              <w:rPr>
                <w:rFonts w:ascii="宋体" w:hAnsi="宋体"/>
                <w:snapToGrid w:val="0"/>
                <w:kern w:val="0"/>
                <w:sz w:val="24"/>
                <w:szCs w:val="21"/>
              </w:rPr>
            </w:pPr>
            <w:r>
              <w:rPr>
                <w:rFonts w:ascii="宋体" w:hAnsi="宋体" w:hint="eastAsia"/>
                <w:snapToGrid w:val="0"/>
                <w:kern w:val="0"/>
                <w:sz w:val="24"/>
                <w:szCs w:val="21"/>
              </w:rPr>
              <w:t>大写：</w:t>
            </w:r>
          </w:p>
          <w:p>
            <w:pPr>
              <w:widowControl/>
              <w:adjustRightInd w:val="0"/>
              <w:snapToGrid w:val="0"/>
              <w:spacing w:line="300" w:lineRule="auto"/>
              <w:jc w:val="left"/>
            </w:pPr>
            <w:r>
              <w:rPr>
                <w:rFonts w:ascii="宋体" w:hAnsi="宋体" w:hint="eastAsia"/>
                <w:snapToGrid w:val="0"/>
                <w:kern w:val="0"/>
                <w:sz w:val="24"/>
                <w:szCs w:val="21"/>
              </w:rPr>
              <w:t>小写：</w:t>
            </w:r>
          </w:p>
        </w:tc>
        <w:tc>
          <w:tcPr>
            <w:tcW w:w="2034" w:type="dxa"/>
            <w:tcBorders>
              <w:top w:val="single" w:sz="4" w:space="0" w:color="auto"/>
            </w:tcBorders>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0"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ascii="宋体" w:hAnsi="宋体" w:hint="eastAsia"/>
          <w:color w:val="0000FF"/>
          <w:kern w:val="0"/>
          <w:szCs w:val="21"/>
        </w:rPr>
        <w:t>1、投标人的投标报价不得超过预算金额，否则将导致投标被否决。</w:t>
      </w:r>
    </w:p>
    <w:p>
      <w:pPr>
        <w:ind w:firstLine="420" w:firstLineChars="200"/>
        <w:rPr>
          <w:rFonts w:hAnsi="宋体"/>
          <w:b/>
          <w:bCs/>
          <w:sz w:val="24"/>
        </w:rPr>
      </w:pPr>
    </w:p>
    <w:p>
      <w:pPr>
        <w:ind w:firstLine="420" w:firstLineChars="200"/>
        <w:rPr>
          <w:rFonts w:hAnsi="宋体"/>
          <w:b/>
          <w:bCs/>
          <w:sz w:val="24"/>
        </w:rPr>
      </w:pPr>
    </w:p>
    <w:p>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pPr>
        <w:rPr>
          <w:b/>
          <w:bCs/>
        </w:rPr>
      </w:pPr>
    </w:p>
    <w:p/>
    <w:p>
      <w:pPr>
        <w:widowControl/>
        <w:numPr>
          <w:ilvl w:val="0"/>
          <w:numId w:val="10"/>
        </w:numPr>
        <w:tabs>
          <w:tab w:val="left" w:pos="720"/>
        </w:tabs>
        <w:spacing w:line="360" w:lineRule="auto"/>
        <w:jc w:val="left"/>
        <w:rPr>
          <w:rFonts w:ascii="黑体" w:eastAsia="黑体" w:hAnsi="宋体"/>
          <w:bCs/>
          <w:sz w:val="24"/>
        </w:rPr>
      </w:pPr>
      <w:r>
        <w:rPr>
          <w:rFonts w:ascii="黑体" w:eastAsia="黑体" w:hAnsi="宋体" w:hint="eastAsia"/>
          <w:bCs/>
          <w:sz w:val="24"/>
        </w:rPr>
        <w:t>供应商认证情况（格式自定）</w:t>
      </w:r>
    </w:p>
    <w:p>
      <w:pPr>
        <w:pStyle w:val="BodyText"/>
        <w:rPr>
          <w:b w:val="0"/>
          <w:bCs w:val="0"/>
        </w:rPr>
      </w:pPr>
      <w:r>
        <w:rPr>
          <w:rFonts w:hint="eastAsia"/>
          <w:b w:val="0"/>
          <w:bCs w:val="0"/>
        </w:rPr>
        <w:t>（特别提示：投标人须按本招标文件评标信息中“供应商认证情况”这一评审因素要求，提供证明资料）</w:t>
      </w:r>
    </w:p>
    <w:p>
      <w:pPr>
        <w:widowControl/>
        <w:numPr>
          <w:ilvl w:val="0"/>
          <w:numId w:val="10"/>
        </w:numPr>
        <w:tabs>
          <w:tab w:val="left" w:pos="720"/>
        </w:tabs>
        <w:spacing w:line="360" w:lineRule="auto"/>
        <w:jc w:val="left"/>
        <w:rPr>
          <w:rFonts w:ascii="黑体" w:eastAsia="黑体" w:hAnsi="宋体"/>
          <w:sz w:val="24"/>
          <w:szCs w:val="20"/>
        </w:rPr>
      </w:pPr>
      <w:r>
        <w:rPr>
          <w:rFonts w:ascii="黑体" w:eastAsia="黑体" w:hAnsi="宋体" w:hint="eastAsia"/>
          <w:bCs/>
          <w:sz w:val="24"/>
        </w:rPr>
        <w:t>供应商同类项目业绩情况</w:t>
      </w:r>
      <w:r>
        <w:rPr>
          <w:rFonts w:ascii="黑体" w:eastAsia="黑体" w:hAnsi="宋体" w:hint="eastAsia"/>
          <w:sz w:val="24"/>
          <w:szCs w:val="20"/>
        </w:rPr>
        <w:t>（格式自定）</w:t>
      </w:r>
    </w:p>
    <w:p>
      <w:pPr>
        <w:pStyle w:val="BodyText"/>
        <w:rPr>
          <w:b w:val="0"/>
          <w:bCs w:val="0"/>
        </w:rPr>
      </w:pPr>
      <w:r>
        <w:rPr>
          <w:rFonts w:hint="eastAsia"/>
          <w:b w:val="0"/>
          <w:bCs w:val="0"/>
        </w:rPr>
        <w:t>（特别提示：投标人须按本招标文件评标信息中“供应商同类项目业绩情况”这一评审因素要求，提供证明资料）</w:t>
      </w:r>
    </w:p>
    <w:p>
      <w:pPr>
        <w:widowControl/>
        <w:numPr>
          <w:ilvl w:val="0"/>
          <w:numId w:val="10"/>
        </w:numPr>
        <w:tabs>
          <w:tab w:val="left" w:pos="720"/>
        </w:tabs>
        <w:spacing w:line="360" w:lineRule="auto"/>
        <w:jc w:val="left"/>
        <w:rPr>
          <w:rFonts w:ascii="黑体" w:eastAsia="黑体" w:hAnsi="宋体"/>
          <w:sz w:val="24"/>
          <w:szCs w:val="20"/>
        </w:rPr>
      </w:pPr>
      <w:r>
        <w:rPr>
          <w:rFonts w:ascii="黑体" w:eastAsia="黑体" w:hAnsi="宋体" w:hint="eastAsia"/>
          <w:bCs/>
          <w:sz w:val="24"/>
        </w:rPr>
        <w:t>供应商获奖情况</w:t>
      </w:r>
      <w:r>
        <w:rPr>
          <w:rFonts w:ascii="黑体" w:eastAsia="黑体" w:hAnsi="宋体" w:hint="eastAsia"/>
          <w:sz w:val="24"/>
          <w:szCs w:val="20"/>
        </w:rPr>
        <w:t>（格式自定）</w:t>
      </w:r>
    </w:p>
    <w:p>
      <w:pPr>
        <w:pStyle w:val="BodyText"/>
        <w:rPr>
          <w:b w:val="0"/>
          <w:bCs w:val="0"/>
        </w:rPr>
      </w:pPr>
      <w:r>
        <w:rPr>
          <w:rFonts w:hint="eastAsia"/>
          <w:b w:val="0"/>
          <w:bCs w:val="0"/>
        </w:rPr>
        <w:t>（特别提示：投标人须按本招标文件评标信息中“供应商获奖情况”这一评审因素要求，提供证明资料）</w:t>
      </w:r>
    </w:p>
    <w:p>
      <w:pPr>
        <w:widowControl/>
        <w:numPr>
          <w:ilvl w:val="0"/>
          <w:numId w:val="10"/>
        </w:numPr>
        <w:tabs>
          <w:tab w:val="left" w:pos="720"/>
        </w:tabs>
        <w:spacing w:line="360" w:lineRule="auto"/>
        <w:jc w:val="left"/>
        <w:rPr>
          <w:rFonts w:ascii="黑体" w:eastAsia="黑体" w:hAnsi="宋体"/>
          <w:sz w:val="24"/>
          <w:szCs w:val="20"/>
        </w:rPr>
      </w:pPr>
      <w:r>
        <w:rPr>
          <w:rFonts w:ascii="黑体" w:eastAsia="黑体" w:hAnsi="宋体" w:hint="eastAsia"/>
          <w:bCs/>
          <w:sz w:val="24"/>
        </w:rPr>
        <w:t>供应商自主知识产权产品（创新、设计）情况</w:t>
      </w:r>
      <w:r>
        <w:rPr>
          <w:rFonts w:ascii="黑体" w:eastAsia="黑体" w:hAnsi="宋体" w:hint="eastAsia"/>
          <w:sz w:val="24"/>
          <w:szCs w:val="20"/>
        </w:rPr>
        <w:t>（格式自定）</w:t>
      </w:r>
    </w:p>
    <w:p>
      <w:pPr>
        <w:pStyle w:val="BodyText"/>
        <w:rPr>
          <w:b w:val="0"/>
          <w:bCs w:val="0"/>
        </w:rPr>
      </w:pPr>
      <w:r>
        <w:rPr>
          <w:rFonts w:hint="eastAsia"/>
          <w:b w:val="0"/>
          <w:bCs w:val="0"/>
        </w:rPr>
        <w:t>（特别提示：投标人须按本招标文件评标信息中“供应商自主知识产权产品（创新、设计）情况”这一评审因素要求，提供证明资料）</w:t>
      </w:r>
    </w:p>
    <w:p>
      <w:pPr>
        <w:widowControl/>
        <w:numPr>
          <w:ilvl w:val="0"/>
          <w:numId w:val="10"/>
        </w:numPr>
        <w:tabs>
          <w:tab w:val="left" w:pos="720"/>
        </w:tabs>
        <w:spacing w:line="360" w:lineRule="auto"/>
        <w:jc w:val="left"/>
        <w:rPr>
          <w:rFonts w:ascii="黑体" w:eastAsia="黑体" w:hAnsi="宋体"/>
          <w:bCs/>
          <w:sz w:val="24"/>
        </w:rPr>
      </w:pPr>
      <w:r>
        <w:rPr>
          <w:rFonts w:ascii="黑体" w:eastAsia="黑体" w:hAnsi="宋体" w:hint="eastAsia"/>
          <w:bCs/>
          <w:sz w:val="24"/>
        </w:rPr>
        <w:t>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2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483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（特别提示：投标人须按本招标文件评标信息中“服务网点”这一评审因素要求，提供证明资料）</w:t>
      </w:r>
    </w:p>
    <w:p/>
    <w:p>
      <w:pPr>
        <w:rPr>
          <w:b/>
          <w:color w:val="FF0000"/>
          <w:sz w:val="24"/>
        </w:rPr>
      </w:pPr>
      <w:r>
        <w:rPr>
          <w:rFonts w:hint="eastAsia"/>
          <w:b/>
          <w:color w:val="FF0000"/>
          <w:sz w:val="24"/>
        </w:rPr>
        <w:t>（信息公开部分的内容到此为止！以下为信息不公开部分。）</w:t>
      </w:r>
    </w:p>
    <w:p>
      <w:pPr>
        <w:rPr>
          <w:b/>
          <w:sz w:val="32"/>
          <w:szCs w:val="32"/>
        </w:rPr>
      </w:pPr>
      <w:r>
        <w:rPr>
          <w:b/>
          <w:sz w:val="32"/>
          <w:szCs w:val="32"/>
        </w:rPr>
        <w:br w:type="page"/>
      </w:r>
    </w:p>
    <w:p>
      <w:pPr>
        <w:outlineLvl w:val="1"/>
        <w:rPr>
          <w:rFonts w:ascii="宋体" w:hAnsi="宋体"/>
          <w:b/>
          <w:color w:val="FF0000"/>
          <w:sz w:val="28"/>
          <w:szCs w:val="28"/>
        </w:rPr>
      </w:pPr>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44" w:name="_Hlk72092499"/>
      <w:r>
        <w:rPr>
          <w:rFonts w:ascii="黑体" w:eastAsia="黑体" w:hint="eastAsia"/>
          <w:b w:val="0"/>
          <w:sz w:val="24"/>
        </w:rPr>
        <w:t>法定代表人（负责人）证明书</w:t>
      </w:r>
      <w:bookmarkEnd w:id="44"/>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rPr>
          <w:sz w:val="24"/>
        </w:rPr>
      </w:pPr>
    </w:p>
    <w:p>
      <w:pPr>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0"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45" w:name="_Hlk72092634"/>
      <w:r>
        <w:rPr>
          <w:rFonts w:ascii="黑体" w:eastAsia="黑体" w:hint="eastAsia"/>
          <w:b w:val="0"/>
          <w:kern w:val="0"/>
          <w:sz w:val="24"/>
          <w:szCs w:val="24"/>
        </w:rPr>
        <w:t>实质性条款响应情况表</w:t>
      </w:r>
      <w:bookmarkEnd w:id="45"/>
    </w:p>
    <w:tbl>
      <w:tblPr>
        <w:tblStyle w:val="TableNormal"/>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4039"/>
        <w:gridCol w:w="1034"/>
        <w:gridCol w:w="1276"/>
        <w:gridCol w:w="1163"/>
      </w:tblGrid>
      <w:tr>
        <w:tblPrEx>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1"/>
        </w:trPr>
        <w:tc>
          <w:tcPr>
            <w:tcW w:w="705" w:type="dxa"/>
            <w:vAlign w:val="center"/>
          </w:tcPr>
          <w:p>
            <w:pPr>
              <w:adjustRightInd w:val="0"/>
              <w:snapToGrid w:val="0"/>
              <w:spacing w:line="360" w:lineRule="auto"/>
              <w:jc w:val="center"/>
              <w:rPr>
                <w:rFonts w:ascii="宋体" w:hAnsi="宋体"/>
                <w:kern w:val="0"/>
                <w:szCs w:val="21"/>
              </w:rPr>
            </w:pPr>
            <w:bookmarkStart w:id="46" w:name="_Hlk72092651"/>
            <w:r>
              <w:rPr>
                <w:rFonts w:ascii="宋体" w:hAnsi="宋体" w:hint="eastAsia"/>
                <w:kern w:val="0"/>
                <w:szCs w:val="21"/>
              </w:rPr>
              <w:t>序号</w:t>
            </w:r>
          </w:p>
        </w:tc>
        <w:tc>
          <w:tcPr>
            <w:tcW w:w="4039"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034"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W w:w="8217"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bookmarkEnd w:id="46"/>
            <w:r>
              <w:rPr>
                <w:rFonts w:ascii="宋体" w:hAnsi="宋体" w:hint="eastAsia"/>
                <w:kern w:val="0"/>
                <w:szCs w:val="21"/>
              </w:rPr>
              <w:t>1</w:t>
            </w:r>
          </w:p>
        </w:tc>
        <w:tc>
          <w:tcPr>
            <w:tcW w:w="4039" w:type="dxa"/>
          </w:tcPr>
          <w:p>
            <w:pPr>
              <w:adjustRightInd w:val="0"/>
              <w:snapToGrid w:val="0"/>
              <w:spacing w:line="360" w:lineRule="auto"/>
              <w:jc w:val="left"/>
              <w:rPr>
                <w:rFonts w:hAnsi="宋体"/>
                <w:kern w:val="0"/>
                <w:szCs w:val="21"/>
              </w:rPr>
            </w:pPr>
            <w:r>
              <w:rPr>
                <w:rFonts w:hint="eastAsia"/>
              </w:rPr>
              <w:t>满足本项目标★的条款要求</w:t>
            </w:r>
          </w:p>
        </w:tc>
        <w:tc>
          <w:tcPr>
            <w:tcW w:w="1034"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r>
        <w:tblPrEx>
          <w:tblW w:w="8217"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eastAsia="宋体" w:hAnsi="宋体" w:hint="eastAsia"/>
                <w:kern w:val="0"/>
                <w:szCs w:val="21"/>
                <w:lang w:val="en-US" w:eastAsia="zh-CN"/>
              </w:rPr>
            </w:pPr>
            <w:r>
              <w:rPr>
                <w:rFonts w:ascii="宋体" w:hAnsi="宋体" w:hint="eastAsia"/>
                <w:kern w:val="0"/>
                <w:szCs w:val="21"/>
                <w:lang w:val="en-US" w:eastAsia="zh-CN"/>
              </w:rPr>
              <w:t>2</w:t>
            </w:r>
          </w:p>
        </w:tc>
        <w:tc>
          <w:tcPr>
            <w:tcW w:w="4039" w:type="dxa"/>
          </w:tcPr>
          <w:p>
            <w:pPr>
              <w:adjustRightInd w:val="0"/>
              <w:snapToGrid w:val="0"/>
              <w:spacing w:line="360" w:lineRule="auto"/>
              <w:jc w:val="left"/>
              <w:rPr>
                <w:rFonts w:hint="eastAsia"/>
              </w:rPr>
            </w:pPr>
            <w:r>
              <w:rPr>
                <w:rFonts w:ascii="宋体" w:hAnsi="宋体" w:cs="宋体" w:hint="eastAsia"/>
                <w:b/>
                <w:bCs/>
                <w:color w:val="FF0000"/>
                <w:kern w:val="0"/>
                <w:szCs w:val="21"/>
              </w:rPr>
              <w:t>投标人若为保安服务公司，需提供服务所在地公安机关核发的《保安服务许可证》【非服务所在地公安机关核发的，承诺“在开始提供保安服务之前30日内向服务所在地设区市的公安机关备案“，提供承诺函（格式自拟）】；若为自行招用保安员的单位，需提供服务所在地设区市的公安机关备案证明【未取得备案的，需承诺“自开始保安服务之日起30个工作日内向服务所在地设区市的公安机关备案”，提供承诺函（格式自拟）】。</w:t>
            </w:r>
          </w:p>
        </w:tc>
        <w:tc>
          <w:tcPr>
            <w:tcW w:w="1034"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20" w:firstLineChars="200"/>
        <w:rPr>
          <w:b/>
          <w:sz w:val="24"/>
          <w:szCs w:val="22"/>
        </w:rPr>
      </w:pPr>
      <w:r>
        <w:rPr>
          <w:rFonts w:hint="eastAsia"/>
          <w:b/>
          <w:sz w:val="24"/>
          <w:szCs w:val="22"/>
        </w:rPr>
        <w:t>注：1. 上表所列各项均为不可负偏离条款。</w:t>
      </w:r>
    </w:p>
    <w:p>
      <w:pPr>
        <w:ind w:firstLine="42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20" w:firstLineChars="200"/>
        <w:rPr>
          <w:b/>
          <w:sz w:val="24"/>
        </w:rPr>
      </w:pPr>
      <w:r>
        <w:rPr>
          <w:b/>
          <w:sz w:val="24"/>
        </w:rPr>
        <w:t>4.</w:t>
      </w:r>
      <w:r>
        <w:rPr>
          <w:rFonts w:hint="eastAsia"/>
          <w:b/>
          <w:sz w:val="24"/>
        </w:rPr>
        <w:t>评审委员会有权根据实质性条款响应情况作出评判。</w:t>
      </w:r>
    </w:p>
    <w:p/>
    <w:p>
      <w:pPr>
        <w:rPr>
          <w:b/>
          <w:bCs/>
          <w:sz w:val="24"/>
        </w:rPr>
      </w:pPr>
    </w:p>
    <w:p>
      <w:pPr>
        <w:rPr>
          <w:rFonts w:ascii="黑体" w:eastAsia="黑体" w:hAnsi="宋体"/>
          <w:sz w:val="24"/>
          <w:szCs w:val="20"/>
        </w:rPr>
      </w:pPr>
      <w:r>
        <w:rPr>
          <w:rFonts w:ascii="黑体" w:eastAsia="黑体" w:hAnsi="宋体" w:hint="eastAsia"/>
          <w:sz w:val="24"/>
          <w:szCs w:val="20"/>
        </w:rPr>
        <w:t>四、实施方案（格式自定）</w:t>
      </w:r>
    </w:p>
    <w:p>
      <w:pPr>
        <w:pStyle w:val="NormalIndent"/>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（特别提示：投标人须按本招标文件评标信息中“实施方案”这一评审因素要求，提供证明资料）</w:t>
      </w:r>
    </w:p>
    <w:p>
      <w:pPr>
        <w:pStyle w:val="NormalIndent"/>
        <w:ind w:firstLine="0"/>
        <w:rPr>
          <w:rFonts w:asciiTheme="minorEastAsia" w:eastAsiaTheme="minorEastAsia" w:hAnsiTheme="minorEastAsia" w:cstheme="minorEastAsia"/>
          <w:sz w:val="24"/>
        </w:rPr>
      </w:pPr>
    </w:p>
    <w:p>
      <w:pPr>
        <w:pStyle w:val="NormalIndent"/>
        <w:ind w:firstLine="0"/>
        <w:rPr>
          <w:rFonts w:ascii="黑体" w:eastAsia="黑体" w:hAnsi="宋体"/>
          <w:sz w:val="24"/>
        </w:rPr>
      </w:pPr>
      <w:r>
        <w:rPr>
          <w:rFonts w:ascii="黑体" w:eastAsia="黑体" w:hAnsi="宋体" w:hint="eastAsia"/>
          <w:sz w:val="24"/>
        </w:rPr>
        <w:t>五、项目重点难点分析、应对措施及相关的合理化建议（格式自定）</w:t>
      </w:r>
    </w:p>
    <w:p>
      <w:pPr>
        <w:pStyle w:val="NormalIndent"/>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（特别提示：投标人须按本招标文件评标信息中“项目重点难点分析、应对措施及相关的合理化建议”这一评审因素要求，提供证明资料）</w:t>
      </w:r>
    </w:p>
    <w:p>
      <w:pPr>
        <w:pStyle w:val="NormalIndent"/>
        <w:ind w:firstLine="0"/>
        <w:rPr>
          <w:rFonts w:asciiTheme="minorEastAsia" w:eastAsiaTheme="minorEastAsia" w:hAnsiTheme="minorEastAsia" w:cstheme="minorEastAsia"/>
          <w:sz w:val="24"/>
        </w:rPr>
      </w:pPr>
    </w:p>
    <w:p>
      <w:pPr>
        <w:pStyle w:val="NormalIndent"/>
        <w:ind w:firstLine="0"/>
        <w:rPr>
          <w:rFonts w:ascii="黑体" w:eastAsia="黑体" w:hAnsi="宋体"/>
          <w:sz w:val="24"/>
        </w:rPr>
      </w:pPr>
      <w:r>
        <w:rPr>
          <w:rFonts w:ascii="黑体" w:eastAsia="黑体" w:hAnsi="宋体" w:hint="eastAsia"/>
          <w:sz w:val="24"/>
        </w:rPr>
        <w:t>六、质量（完成时间、安全、环保）保障措施及方案（格式自定）</w:t>
      </w:r>
    </w:p>
    <w:p>
      <w:pPr>
        <w:pStyle w:val="NormalIndent"/>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（特别提示：投标人须按本招标文件评标信息中“质量（完成时间、安全、环保）保障措施及方案”这一评审因素要求，提供证明资料）</w:t>
      </w:r>
    </w:p>
    <w:p>
      <w:pPr>
        <w:pStyle w:val="NormalIndent"/>
        <w:ind w:firstLine="0"/>
        <w:rPr>
          <w:rFonts w:asciiTheme="minorEastAsia" w:eastAsiaTheme="minorEastAsia" w:hAnsiTheme="minorEastAsia" w:cstheme="minorEastAsia"/>
          <w:sz w:val="24"/>
        </w:rPr>
      </w:pPr>
    </w:p>
    <w:p>
      <w:pPr>
        <w:pStyle w:val="NormalIndent"/>
        <w:ind w:firstLine="0"/>
        <w:rPr>
          <w:rFonts w:ascii="黑体" w:eastAsia="黑体" w:hAnsi="宋体"/>
          <w:sz w:val="24"/>
        </w:rPr>
      </w:pPr>
      <w:r>
        <w:rPr>
          <w:rFonts w:ascii="黑体" w:eastAsia="黑体" w:hAnsi="宋体" w:hint="eastAsia"/>
          <w:sz w:val="24"/>
        </w:rPr>
        <w:t>七、项目完成（服务期满）后的服务承诺（格式自定）</w:t>
      </w:r>
    </w:p>
    <w:p>
      <w:pPr>
        <w:pStyle w:val="NormalIndent"/>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（特别提示：投标人须按本招标文件评标信息中“项目完成（服务期满）后的服务承诺”这一评审因素要求，提供证明资料）</w:t>
      </w:r>
    </w:p>
    <w:p>
      <w:pPr>
        <w:pStyle w:val="NormalIndent"/>
        <w:ind w:firstLine="0"/>
        <w:rPr>
          <w:rFonts w:asciiTheme="minorEastAsia" w:eastAsiaTheme="minorEastAsia" w:hAnsiTheme="minorEastAsia" w:cstheme="minorEastAsia"/>
          <w:sz w:val="24"/>
        </w:rPr>
      </w:pPr>
    </w:p>
    <w:p>
      <w:pPr>
        <w:pStyle w:val="NormalIndent"/>
        <w:ind w:firstLine="0"/>
        <w:rPr>
          <w:rFonts w:ascii="黑体" w:eastAsia="黑体" w:hAnsi="宋体"/>
          <w:sz w:val="24"/>
        </w:rPr>
      </w:pPr>
      <w:r>
        <w:rPr>
          <w:rFonts w:ascii="黑体" w:eastAsia="黑体" w:hAnsi="宋体" w:hint="eastAsia"/>
          <w:sz w:val="24"/>
        </w:rPr>
        <w:t>八、违约承诺（格式自定）</w:t>
      </w:r>
    </w:p>
    <w:p>
      <w:pPr>
        <w:pStyle w:val="NormalIndent"/>
        <w:spacing w:before="60" w:beforeLines="25" w:after="60" w:afterLines="2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（特别提示：投标人须按本招标文件评标信息中“违约承诺”这一评审因素要求，提供证明资料）</w:t>
      </w:r>
    </w:p>
    <w:p>
      <w:pPr>
        <w:pStyle w:val="NormalIndent"/>
        <w:spacing w:before="60" w:beforeLines="25" w:after="60" w:afterLines="25"/>
        <w:ind w:firstLine="0"/>
        <w:rPr>
          <w:rFonts w:asciiTheme="minorEastAsia" w:eastAsiaTheme="minorEastAsia" w:hAnsiTheme="minorEastAsia" w:cstheme="minorEastAsia"/>
          <w:sz w:val="24"/>
        </w:rPr>
      </w:pPr>
    </w:p>
    <w:p>
      <w:pPr>
        <w:pStyle w:val="NormalIndent"/>
        <w:spacing w:before="60" w:beforeLines="25" w:after="60" w:afterLines="25"/>
        <w:ind w:firstLine="0"/>
        <w:rPr>
          <w:rFonts w:ascii="黑体" w:eastAsia="黑体" w:hAnsi="宋体"/>
          <w:sz w:val="24"/>
        </w:rPr>
      </w:pPr>
      <w:r>
        <w:rPr>
          <w:rFonts w:ascii="黑体" w:eastAsia="黑体" w:hAnsi="宋体" w:hint="eastAsia"/>
          <w:sz w:val="24"/>
        </w:rPr>
        <w:t>九、拟安排的项目负责人情况（仅限一人）（格式自定）</w:t>
      </w:r>
    </w:p>
    <w:p>
      <w:pPr>
        <w:pStyle w:val="NormalIndent"/>
        <w:spacing w:before="60" w:beforeLines="25" w:after="60" w:afterLines="2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（特别提示：投标人须按本招标文件评标信息中“拟安排的项目负责人情况（仅限一人）”这一评审因素要求，提供证明资料）</w:t>
      </w:r>
    </w:p>
    <w:p>
      <w:pPr>
        <w:pStyle w:val="NormalIndent"/>
        <w:spacing w:before="60" w:beforeLines="25" w:after="60" w:afterLines="25"/>
        <w:ind w:firstLine="0"/>
        <w:rPr>
          <w:rFonts w:asciiTheme="minorEastAsia" w:eastAsiaTheme="minorEastAsia" w:hAnsiTheme="minorEastAsia" w:cstheme="minorEastAsia"/>
          <w:sz w:val="24"/>
        </w:rPr>
      </w:pPr>
    </w:p>
    <w:p>
      <w:pPr>
        <w:pStyle w:val="NormalIndent"/>
        <w:spacing w:before="60" w:beforeLines="25" w:after="60" w:afterLines="25"/>
        <w:ind w:firstLine="0"/>
        <w:rPr>
          <w:rFonts w:ascii="黑体" w:eastAsia="黑体" w:hAnsi="宋体"/>
          <w:sz w:val="24"/>
        </w:rPr>
      </w:pPr>
      <w:r>
        <w:rPr>
          <w:rFonts w:ascii="黑体" w:eastAsia="黑体" w:hAnsi="宋体" w:hint="eastAsia"/>
          <w:sz w:val="24"/>
        </w:rPr>
        <w:t>十、拟安排的项目主要团队成员（主要技术人员）情况（项目负责人除外）（格式自定）</w:t>
      </w:r>
    </w:p>
    <w:p>
      <w:pPr>
        <w:pStyle w:val="NormalIndent"/>
        <w:spacing w:before="60" w:beforeLines="25" w:after="60" w:afterLines="2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（特别提示：投标人须按本招标文件评标信息中“拟安排的项目主要团队成员（主要技术人员）情况（项目负责人除外）”这一评审因素要求，提供证明资料）</w:t>
      </w:r>
    </w:p>
    <w:p>
      <w:pPr>
        <w:pStyle w:val="NormalIndent"/>
        <w:spacing w:before="60" w:beforeLines="25" w:after="60" w:afterLines="25"/>
        <w:ind w:firstLine="0"/>
        <w:rPr>
          <w:rFonts w:asciiTheme="minorEastAsia" w:eastAsiaTheme="minorEastAsia" w:hAnsiTheme="minorEastAsia" w:cstheme="minorEastAsia"/>
          <w:sz w:val="24"/>
        </w:rPr>
      </w:pPr>
    </w:p>
    <w:p>
      <w:pPr>
        <w:pStyle w:val="NormalIndent"/>
        <w:spacing w:before="60" w:beforeLines="25" w:after="60" w:afterLines="25"/>
        <w:ind w:firstLine="0"/>
        <w:rPr>
          <w:rFonts w:ascii="黑体" w:eastAsia="黑体" w:hAnsi="宋体"/>
          <w:sz w:val="24"/>
        </w:rPr>
      </w:pPr>
      <w:r>
        <w:rPr>
          <w:rFonts w:ascii="黑体" w:eastAsia="黑体" w:hAnsi="宋体" w:hint="eastAsia"/>
          <w:sz w:val="24"/>
        </w:rPr>
        <w:t>十一、拟投入的服务资源（车辆、场地、工具、机器等）情况（格式自定）</w:t>
      </w:r>
    </w:p>
    <w:p>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FF0000"/>
          <w:sz w:val="24"/>
        </w:rPr>
        <w:t>（特别提示：投标人须按本招标文件评标信息中“拟投入的服务资源（车辆、场地、工具、机器等）情况”这一评审因素要求，提供证明资料）</w:t>
      </w:r>
    </w:p>
    <w:p>
      <w:pPr>
        <w:pStyle w:val="BodyText"/>
      </w:pPr>
    </w:p>
    <w:p>
      <w:pPr>
        <w:numPr>
          <w:ilvl w:val="0"/>
          <w:numId w:val="11"/>
        </w:numPr>
        <w:rPr>
          <w:rFonts w:ascii="黑体" w:eastAsia="黑体" w:hAnsi="宋体"/>
          <w:sz w:val="24"/>
          <w:szCs w:val="20"/>
        </w:rPr>
      </w:pPr>
      <w:r>
        <w:rPr>
          <w:rFonts w:ascii="黑体" w:eastAsia="黑体" w:hAnsi="宋体" w:hint="eastAsia"/>
          <w:sz w:val="24"/>
          <w:szCs w:val="20"/>
        </w:rPr>
        <w:t>投标人认为需要加以说明的其他内容（格式自定）</w:t>
      </w:r>
    </w:p>
    <w:p>
      <w:pPr>
        <w:pStyle w:val="BodyText"/>
      </w:pPr>
    </w:p>
    <w:p>
      <w:pPr>
        <w:rPr>
          <w:rFonts w:ascii="黑体" w:eastAsia="黑体" w:hAnsi="宋体"/>
          <w:sz w:val="24"/>
          <w:szCs w:val="20"/>
        </w:rPr>
      </w:pPr>
      <w:r>
        <w:rPr>
          <w:rFonts w:ascii="黑体" w:eastAsia="黑体" w:hAnsi="宋体" w:hint="eastAsia"/>
          <w:sz w:val="24"/>
          <w:szCs w:val="20"/>
        </w:rPr>
        <w:t>（1）政府采购违法行为风险知悉确认书</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本公司在投标前已充分知悉以下情形为参与政府采购活动时的重大风险事项，并承诺已对下述风险提示事项重点排查，做到严谨、诚信、依法依规参与政府采购活动。</w:t>
      </w:r>
    </w:p>
    <w:p>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（一）通过转让或者租借等方式从其他单位获取资格或者资质证书投标的。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（二）由其他单位或者其他单位负责人在投标供应商编制的投标文件上加盖印章或者签字的。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（三）项目负责人或者主要技术人员不是本单位人员的。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（四）投标保证金不是从投标供应商基本账户转出的。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（五）其他隐瞒真实情况、提供虚假资料的行为。</w:t>
      </w:r>
    </w:p>
    <w:p>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（一）投标供应商之间相互约定给予未中标的供应商利益补偿。</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（二）不同投标供应商的法定代表人、主要经营负责人、项目投标授权代表人、项目负责人、主要技术人员为同一人、属同一单位或者在同一单位缴纳社会保险。</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（三）不同投标供应商的投标文件由同一单位或者同一人编制，或者由同一人分阶段参与编制的。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（四）不同投标供应商的投标文件或部分投标文件相互混装。</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（五）不同投标供应商的投标文件内容存在非正常一致。</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（六）由同一单位工作人员为两家以上（含两家）供应商进行同一项投标活动的。</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（七）不同投标人的投标报价呈规律性差异。</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（八）不同投标人的投标保证金从同一单位或者个人的账户转出。</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（九）主管部门依照法律、法规认定的其他情形。</w:t>
      </w:r>
    </w:p>
    <w:p>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（三）对于涉及安全生产、特种作业、抢险救灾、防疫等政府采购项目，供应商实施提供虚假资料、串通投标等违法行为的，主管部门将依法从严处理。</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NormalWeb"/>
        <w:autoSpaceDE w:val="0"/>
        <w:autoSpaceDN w:val="0"/>
        <w:spacing w:line="400" w:lineRule="exact"/>
        <w:ind w:firstLine="420" w:firstLineChars="200"/>
        <w:rPr>
          <w:rFonts w:ascii="宋体" w:hAnsi="宋体"/>
          <w:spacing w:val="-4"/>
          <w:kern w:val="0"/>
          <w:sz w:val="21"/>
          <w:szCs w:val="21"/>
        </w:rPr>
      </w:pPr>
      <w:r>
        <w:rPr>
          <w:rFonts w:ascii="宋体" w:hAnsi="宋体" w:hint="eastAsia"/>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NormalWeb"/>
        <w:autoSpaceDE w:val="0"/>
        <w:autoSpaceDN w:val="0"/>
        <w:spacing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pPr>
        <w:pStyle w:val="NormalWeb"/>
        <w:autoSpaceDE w:val="0"/>
        <w:autoSpaceDN w:val="0"/>
        <w:spacing w:line="400" w:lineRule="exact"/>
        <w:ind w:firstLine="420" w:firstLineChars="200"/>
        <w:rPr>
          <w:rFonts w:ascii="宋体" w:hAnsi="宋体"/>
          <w:b/>
          <w:bCs/>
          <w:spacing w:val="-4"/>
          <w:kern w:val="0"/>
          <w:sz w:val="21"/>
          <w:szCs w:val="21"/>
        </w:rPr>
      </w:pPr>
      <w:r>
        <w:rPr>
          <w:rFonts w:ascii="宋体" w:hAnsi="宋体" w:hint="eastAsia"/>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Ind w:w="0" w:type="dxa"/>
        <w:tblBorders>
          <w:top w:val="nil"/>
          <w:left w:val="nil"/>
          <w:bottom w:val="single" w:sz="4" w:space="0" w:color="auto"/>
          <w:right w:val="nil"/>
          <w:insideH w:val="nil"/>
          <w:insideV w:val="nil"/>
        </w:tblBorders>
        <w:tblCellMar>
          <w:top w:w="0" w:type="dxa"/>
          <w:left w:w="108" w:type="dxa"/>
          <w:bottom w:w="0" w:type="dxa"/>
          <w:right w:w="108" w:type="dxa"/>
        </w:tblCellMar>
      </w:tblPr>
      <w:tblGrid>
        <w:gridCol w:w="8529"/>
      </w:tblGrid>
      <w:tr>
        <w:tblPrEx>
          <w:tblW w:w="0" w:type="auto"/>
          <w:tblInd w:w="0" w:type="dxa"/>
          <w:tblBorders>
            <w:top w:val="nil"/>
            <w:left w:val="nil"/>
            <w:bottom w:val="single" w:sz="4" w:space="0" w:color="auto"/>
            <w:right w:val="nil"/>
            <w:insideH w:val="nil"/>
            <w:insideV w:val="nil"/>
          </w:tblBorders>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pStyle w:val="NormalWeb"/>
              <w:autoSpaceDE w:val="0"/>
              <w:autoSpaceDN w:val="0"/>
              <w:spacing w:line="400" w:lineRule="exact"/>
              <w:rPr>
                <w:rFonts w:ascii="宋体" w:hAnsi="宋体"/>
                <w:spacing w:val="-4"/>
                <w:kern w:val="0"/>
                <w:sz w:val="21"/>
                <w:szCs w:val="21"/>
              </w:rPr>
            </w:pPr>
          </w:p>
        </w:tc>
      </w:tr>
      <w:tr>
        <w:tblPrEx>
          <w:tblW w:w="0" w:type="auto"/>
          <w:tblInd w:w="0" w:type="dxa"/>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pStyle w:val="NormalWeb"/>
              <w:autoSpaceDE w:val="0"/>
              <w:autoSpaceDN w:val="0"/>
              <w:spacing w:line="400" w:lineRule="exact"/>
              <w:rPr>
                <w:rFonts w:ascii="宋体" w:hAnsi="宋体"/>
                <w:spacing w:val="-4"/>
                <w:kern w:val="0"/>
                <w:sz w:val="21"/>
                <w:szCs w:val="21"/>
              </w:rPr>
            </w:pPr>
          </w:p>
        </w:tc>
      </w:tr>
      <w:tr>
        <w:tblPrEx>
          <w:tblW w:w="0" w:type="auto"/>
          <w:tblInd w:w="0" w:type="dxa"/>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pStyle w:val="NormalWeb"/>
              <w:autoSpaceDE w:val="0"/>
              <w:autoSpaceDN w:val="0"/>
              <w:spacing w:line="400" w:lineRule="exact"/>
              <w:rPr>
                <w:rFonts w:ascii="宋体" w:hAnsi="宋体"/>
                <w:spacing w:val="-4"/>
                <w:kern w:val="0"/>
                <w:sz w:val="21"/>
                <w:szCs w:val="21"/>
              </w:rPr>
            </w:pPr>
          </w:p>
        </w:tc>
      </w:tr>
      <w:tr>
        <w:tblPrEx>
          <w:tblW w:w="0" w:type="auto"/>
          <w:tblInd w:w="0" w:type="dxa"/>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pStyle w:val="NormalWeb"/>
              <w:autoSpaceDE w:val="0"/>
              <w:autoSpaceDN w:val="0"/>
              <w:spacing w:line="400" w:lineRule="exact"/>
              <w:rPr>
                <w:rFonts w:ascii="宋体" w:hAnsi="宋体"/>
                <w:spacing w:val="-4"/>
                <w:kern w:val="0"/>
                <w:sz w:val="21"/>
                <w:szCs w:val="21"/>
              </w:rPr>
            </w:pPr>
          </w:p>
        </w:tc>
      </w:tr>
    </w:tbl>
    <w:p>
      <w:pPr>
        <w:pStyle w:val="NormalWeb"/>
        <w:autoSpaceDE w:val="0"/>
        <w:autoSpaceDN w:val="0"/>
        <w:spacing w:line="400" w:lineRule="exact"/>
        <w:ind w:firstLine="420" w:firstLineChars="200"/>
        <w:jc w:val="left"/>
        <w:rPr>
          <w:rFonts w:ascii="宋体" w:hAnsi="宋体"/>
          <w:b/>
          <w:bCs/>
          <w:color w:val="FF0000"/>
          <w:spacing w:val="-4"/>
          <w:kern w:val="0"/>
          <w:sz w:val="21"/>
          <w:szCs w:val="21"/>
        </w:rPr>
      </w:pPr>
      <w:r>
        <w:rPr>
          <w:rFonts w:ascii="宋体" w:hAnsi="宋体" w:hint="eastAsia"/>
          <w:b/>
          <w:bCs/>
          <w:color w:val="FF0000"/>
          <w:spacing w:val="-4"/>
          <w:kern w:val="0"/>
          <w:sz w:val="21"/>
          <w:szCs w:val="21"/>
        </w:rPr>
        <w:t>注：1.政府采购违法行为风险知悉确认书不作为资格性审查及符合性审查条件。</w:t>
      </w:r>
    </w:p>
    <w:p>
      <w:pPr>
        <w:pStyle w:val="NormalWeb"/>
        <w:autoSpaceDE w:val="0"/>
        <w:autoSpaceDN w:val="0"/>
        <w:spacing w:line="400" w:lineRule="exact"/>
        <w:ind w:firstLine="420" w:firstLineChars="200"/>
        <w:rPr>
          <w:rFonts w:ascii="宋体" w:hAnsi="宋体"/>
          <w:color w:val="FF0000"/>
          <w:spacing w:val="-4"/>
          <w:kern w:val="0"/>
          <w:sz w:val="21"/>
          <w:szCs w:val="21"/>
        </w:rPr>
      </w:pPr>
      <w:r>
        <w:rPr>
          <w:rFonts w:ascii="宋体" w:hAnsi="宋体" w:hint="eastAsia"/>
          <w:b/>
          <w:bCs/>
          <w:color w:val="FF0000"/>
          <w:spacing w:val="-4"/>
          <w:kern w:val="0"/>
          <w:sz w:val="21"/>
          <w:szCs w:val="21"/>
        </w:rPr>
        <w:t>2.投标供应商负责人或投标授权代表签字并加盖单位公章后，扫描上传至投标文件一并提交。</w:t>
      </w:r>
    </w:p>
    <w:p>
      <w:pPr>
        <w:pStyle w:val="NormalWeb"/>
        <w:wordWrap w:val="0"/>
        <w:autoSpaceDE w:val="0"/>
        <w:autoSpaceDN w:val="0"/>
        <w:spacing w:line="400" w:lineRule="exact"/>
        <w:ind w:firstLine="420" w:firstLineChars="200"/>
        <w:jc w:val="right"/>
        <w:rPr>
          <w:rFonts w:ascii="宋体" w:hAnsi="宋体"/>
          <w:spacing w:val="-4"/>
          <w:kern w:val="0"/>
          <w:sz w:val="21"/>
          <w:szCs w:val="21"/>
        </w:rPr>
      </w:pPr>
      <w:r>
        <w:rPr>
          <w:rFonts w:ascii="宋体" w:hAnsi="宋体" w:hint="eastAsia"/>
          <w:spacing w:val="-4"/>
          <w:kern w:val="0"/>
          <w:sz w:val="21"/>
          <w:szCs w:val="21"/>
        </w:rPr>
        <w:t xml:space="preserve">负责人/投标授权代表签名：     </w:t>
      </w:r>
    </w:p>
    <w:p>
      <w:pPr>
        <w:pStyle w:val="NormalWeb"/>
        <w:wordWrap w:val="0"/>
        <w:autoSpaceDE w:val="0"/>
        <w:autoSpaceDN w:val="0"/>
        <w:spacing w:line="400" w:lineRule="exact"/>
        <w:ind w:firstLine="420" w:firstLineChars="200"/>
        <w:jc w:val="right"/>
        <w:rPr>
          <w:rFonts w:ascii="宋体" w:hAnsi="宋体"/>
          <w:spacing w:val="-4"/>
          <w:kern w:val="0"/>
          <w:sz w:val="21"/>
          <w:szCs w:val="21"/>
        </w:rPr>
      </w:pPr>
      <w:r>
        <w:rPr>
          <w:rFonts w:ascii="宋体" w:hAnsi="宋体" w:hint="eastAsia"/>
          <w:spacing w:val="-4"/>
          <w:kern w:val="0"/>
          <w:sz w:val="21"/>
          <w:szCs w:val="21"/>
        </w:rPr>
        <w:t xml:space="preserve">知悉人（公章）：     </w:t>
      </w:r>
    </w:p>
    <w:p>
      <w:pPr>
        <w:pStyle w:val="NormalWeb"/>
        <w:wordWrap w:val="0"/>
        <w:autoSpaceDE w:val="0"/>
        <w:autoSpaceDN w:val="0"/>
        <w:spacing w:line="400" w:lineRule="exact"/>
        <w:ind w:firstLine="420" w:firstLineChars="200"/>
        <w:jc w:val="right"/>
      </w:pPr>
      <w:r>
        <w:rPr>
          <w:rFonts w:ascii="宋体" w:hAnsi="宋体" w:hint="eastAsia"/>
          <w:spacing w:val="-4"/>
          <w:kern w:val="0"/>
          <w:sz w:val="21"/>
          <w:szCs w:val="21"/>
        </w:rPr>
        <w:t xml:space="preserve">日期：     </w:t>
      </w:r>
    </w:p>
    <w:p>
      <w:pPr>
        <w:pStyle w:val="BodyText"/>
      </w:pPr>
    </w:p>
    <w:p>
      <w:pPr>
        <w:rPr>
          <w:rFonts w:ascii="黑体" w:eastAsia="黑体" w:hAnsi="宋体"/>
          <w:sz w:val="24"/>
          <w:szCs w:val="20"/>
        </w:rPr>
      </w:pPr>
      <w:r>
        <w:rPr>
          <w:rFonts w:ascii="黑体" w:eastAsia="黑体" w:hAnsi="宋体" w:hint="eastAsia"/>
          <w:sz w:val="24"/>
          <w:szCs w:val="20"/>
        </w:rPr>
        <w:t>（2）投标人认为需要加以说明的其他内容</w:t>
      </w:r>
    </w:p>
    <w:p>
      <w:pPr>
        <w:pStyle w:val="BodyText"/>
      </w:pPr>
    </w:p>
    <w:p>
      <w:pPr>
        <w:pStyle w:val="BodyText2"/>
      </w:pPr>
    </w:p>
    <w:p>
      <w:pPr>
        <w:widowControl/>
        <w:jc w:val="left"/>
        <w:rPr>
          <w:rFonts w:ascii="宋体" w:hAnsi="宋体"/>
          <w:b/>
          <w:bCs/>
          <w:kern w:val="0"/>
          <w:sz w:val="24"/>
          <w:szCs w:val="20"/>
        </w:rPr>
      </w:pPr>
      <w:r>
        <w:br w:type="page"/>
      </w:r>
    </w:p>
    <w:p>
      <w:pPr>
        <w:pStyle w:val="Heading2"/>
      </w:pPr>
      <w:r>
        <w:rPr>
          <w:rFonts w:hint="eastAsia"/>
        </w:rPr>
        <w:t>第五章  合同条款及格式</w:t>
      </w:r>
    </w:p>
    <w:p>
      <w:pPr>
        <w:ind w:firstLine="412"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ascii="宋体" w:hAnsi="宋体" w:hint="eastAsia"/>
          <w:b/>
          <w:bCs/>
          <w:szCs w:val="21"/>
        </w:rPr>
        <w:t>甲方：</w:t>
      </w:r>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r>
        <w:rPr>
          <w:rFonts w:ascii="宋体" w:hAnsi="宋体"/>
          <w:szCs w:val="21"/>
        </w:rPr>
        <w:t xml:space="preserve">                          </w:t>
      </w:r>
    </w:p>
    <w:p>
      <w:pPr>
        <w:rPr>
          <w:rFonts w:ascii="宋体" w:hAnsi="宋体"/>
          <w:b/>
          <w:bCs/>
          <w:szCs w:val="21"/>
        </w:rPr>
      </w:pPr>
      <w:r>
        <w:rPr>
          <w:rFonts w:ascii="宋体" w:hAnsi="宋体" w:hint="eastAsia"/>
          <w:szCs w:val="21"/>
        </w:rPr>
        <w:t>联系电话：</w:t>
      </w:r>
    </w:p>
    <w:p>
      <w:pPr>
        <w:rPr>
          <w:rFonts w:ascii="宋体" w:hAns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pPr>
        <w:rPr>
          <w:rFonts w:ascii="宋体" w:hAnsi="宋体"/>
          <w:b/>
          <w:bCs/>
          <w:szCs w:val="21"/>
        </w:rPr>
      </w:pPr>
      <w:r>
        <w:rPr>
          <w:rFonts w:ascii="宋体" w:hAnsi="宋体" w:hint="eastAsia"/>
          <w:b/>
          <w:bCs/>
          <w:szCs w:val="21"/>
        </w:rPr>
        <w:t>乙方：</w:t>
      </w:r>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r>
        <w:rPr>
          <w:rFonts w:ascii="宋体" w:hAnsi="宋体"/>
          <w:szCs w:val="21"/>
        </w:rPr>
        <w:t xml:space="preserve">                          </w:t>
      </w:r>
    </w:p>
    <w:p>
      <w:pPr>
        <w:rPr>
          <w:rFonts w:ascii="宋体" w:hAnsi="宋体"/>
          <w:b/>
          <w:bCs/>
          <w:szCs w:val="21"/>
        </w:rPr>
      </w:pPr>
      <w:r>
        <w:rPr>
          <w:rFonts w:ascii="宋体" w:hAnsi="宋体" w:hint="eastAsia"/>
          <w:szCs w:val="21"/>
        </w:rPr>
        <w:t>联系电话：</w:t>
      </w:r>
    </w:p>
    <w:p>
      <w:pPr>
        <w:rPr>
          <w:rFonts w:ascii="宋体" w:hAnsi="宋体"/>
          <w:szCs w:val="21"/>
        </w:rPr>
      </w:pPr>
      <w:r>
        <w:rPr>
          <w:rFonts w:ascii="宋体" w:hAnsi="宋体"/>
          <w:b/>
          <w:bCs/>
          <w:szCs w:val="21"/>
        </w:rPr>
        <w:t xml:space="preserve">            </w:t>
      </w:r>
      <w:r>
        <w:rPr>
          <w:rFonts w:ascii="宋体" w:hAnsi="宋体" w:hint="eastAsia"/>
          <w:b/>
          <w:bCs/>
          <w:szCs w:val="21"/>
        </w:rPr>
        <w:t xml:space="preserve">          </w:t>
      </w:r>
    </w:p>
    <w:p>
      <w:pPr>
        <w:rPr>
          <w:rFonts w:ascii="宋体" w:hAnsi="宋体"/>
          <w:szCs w:val="21"/>
        </w:rPr>
      </w:pPr>
    </w:p>
    <w:p>
      <w:pPr>
        <w:ind w:firstLine="420" w:firstLineChars="200"/>
        <w:rPr>
          <w:rFonts w:ascii="宋体" w:hAnsi="宋体"/>
          <w:szCs w:val="21"/>
        </w:rPr>
      </w:pPr>
      <w:r>
        <w:rPr>
          <w:rFonts w:ascii="宋体" w:hAnsi="宋体" w:hint="eastAsia"/>
          <w:szCs w:val="21"/>
        </w:rPr>
        <w:t>根据深圳公共资源交易中心（深圳交易集团有限公司政府采购业务分公司）*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pPr>
        <w:ind w:firstLine="420" w:firstLineChars="200"/>
        <w:rPr>
          <w:rFonts w:ascii="宋体" w:hAnsi="宋体"/>
          <w:b/>
          <w:bCs/>
          <w:szCs w:val="21"/>
        </w:rPr>
      </w:pPr>
      <w:r>
        <w:rPr>
          <w:rFonts w:ascii="宋体" w:hAnsi="宋体" w:hint="eastAsia"/>
          <w:b/>
          <w:bCs/>
          <w:szCs w:val="21"/>
        </w:rPr>
        <w:t>第一条　项目概况</w:t>
      </w:r>
    </w:p>
    <w:p>
      <w:pPr>
        <w:ind w:firstLine="420" w:firstLineChars="200"/>
        <w:rPr>
          <w:rFonts w:ascii="宋体" w:hAnsi="宋体"/>
          <w:szCs w:val="21"/>
        </w:rPr>
      </w:pPr>
      <w:r>
        <w:rPr>
          <w:rFonts w:ascii="宋体" w:hAnsi="宋体" w:hint="eastAsia"/>
          <w:szCs w:val="21"/>
        </w:rPr>
        <w:t xml:space="preserve">项目名称： </w:t>
      </w:r>
    </w:p>
    <w:p>
      <w:pPr>
        <w:ind w:firstLine="420" w:firstLineChars="200"/>
        <w:rPr>
          <w:rFonts w:ascii="宋体" w:hAnsi="宋体"/>
          <w:szCs w:val="21"/>
        </w:rPr>
      </w:pPr>
      <w:r>
        <w:rPr>
          <w:rFonts w:ascii="宋体" w:hAnsi="宋体" w:hint="eastAsia"/>
          <w:szCs w:val="21"/>
        </w:rPr>
        <w:t xml:space="preserve">项目内容： </w:t>
      </w:r>
    </w:p>
    <w:p>
      <w:pPr>
        <w:ind w:firstLine="420" w:firstLineChars="200"/>
        <w:rPr>
          <w:rFonts w:ascii="宋体" w:hAnsi="宋体"/>
          <w:szCs w:val="21"/>
        </w:rPr>
      </w:pPr>
      <w:r>
        <w:rPr>
          <w:rFonts w:ascii="宋体" w:hAnsi="宋体" w:hint="eastAsia"/>
          <w:szCs w:val="21"/>
        </w:rPr>
        <w:t xml:space="preserve">服务时间： </w:t>
      </w:r>
    </w:p>
    <w:p>
      <w:pPr>
        <w:ind w:firstLine="420" w:firstLineChars="200"/>
        <w:rPr>
          <w:rFonts w:ascii="宋体" w:hAnsi="宋体"/>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pPr>
        <w:pStyle w:val="NormalIndent"/>
        <w:rPr>
          <w:rFonts w:ascii="宋体" w:hAnsi="宋体"/>
          <w:szCs w:val="21"/>
        </w:rPr>
      </w:pPr>
      <w:r>
        <w:rPr>
          <w:rFonts w:ascii="宋体" w:hAnsi="宋体" w:hint="eastAsia"/>
          <w:szCs w:val="21"/>
        </w:rPr>
        <w:t>支付方式：分期支付。</w:t>
      </w:r>
    </w:p>
    <w:p>
      <w:pPr>
        <w:ind w:firstLine="420" w:firstLineChars="200"/>
        <w:rPr>
          <w:rFonts w:ascii="宋体" w:hAnsi="宋体"/>
          <w:b/>
          <w:bCs/>
          <w:szCs w:val="21"/>
        </w:rPr>
      </w:pPr>
      <w:r>
        <w:rPr>
          <w:rFonts w:ascii="宋体" w:hAnsi="宋体" w:hint="eastAsia"/>
          <w:b/>
          <w:bCs/>
          <w:szCs w:val="21"/>
        </w:rPr>
        <w:t>第二条  服务范围</w:t>
      </w:r>
    </w:p>
    <w:p>
      <w:pPr>
        <w:ind w:firstLine="420" w:firstLineChars="200"/>
        <w:rPr>
          <w:rFonts w:ascii="宋体" w:hAnsi="宋体"/>
          <w:szCs w:val="21"/>
        </w:rPr>
      </w:pPr>
      <w:r>
        <w:rPr>
          <w:rFonts w:ascii="宋体" w:hAnsi="宋体" w:hint="eastAsia"/>
          <w:szCs w:val="21"/>
        </w:rPr>
        <w:t xml:space="preserve">1、  </w:t>
      </w:r>
    </w:p>
    <w:p>
      <w:pPr>
        <w:ind w:firstLine="420" w:firstLineChars="200"/>
        <w:rPr>
          <w:rFonts w:ascii="宋体" w:hAnsi="宋体"/>
          <w:szCs w:val="21"/>
        </w:rPr>
      </w:pPr>
      <w:r>
        <w:rPr>
          <w:rFonts w:ascii="宋体" w:hAnsi="宋体" w:hint="eastAsia"/>
          <w:szCs w:val="21"/>
        </w:rPr>
        <w:t xml:space="preserve">2、  </w:t>
      </w:r>
    </w:p>
    <w:p>
      <w:pPr>
        <w:ind w:firstLine="420" w:firstLineChars="200"/>
        <w:rPr>
          <w:rFonts w:ascii="宋体" w:hAnsi="宋体"/>
          <w:szCs w:val="21"/>
        </w:rPr>
      </w:pPr>
      <w:r>
        <w:rPr>
          <w:rFonts w:ascii="宋体" w:hAnsi="宋体" w:hint="eastAsia"/>
          <w:szCs w:val="21"/>
        </w:rPr>
        <w:t xml:space="preserve">3、  </w:t>
      </w:r>
    </w:p>
    <w:p>
      <w:pPr>
        <w:ind w:firstLine="420" w:firstLineChars="200"/>
        <w:rPr>
          <w:rFonts w:ascii="宋体" w:hAnsi="宋体"/>
          <w:szCs w:val="21"/>
        </w:rPr>
      </w:pPr>
      <w:r>
        <w:rPr>
          <w:rFonts w:ascii="宋体" w:hAnsi="宋体" w:hint="eastAsia"/>
          <w:szCs w:val="21"/>
        </w:rPr>
        <w:t>4、 其他合同未明示的相关工作。</w:t>
      </w:r>
    </w:p>
    <w:p>
      <w:pPr>
        <w:ind w:firstLine="420" w:firstLineChars="200"/>
        <w:rPr>
          <w:rFonts w:ascii="宋体" w:hAnsi="宋体"/>
          <w:b/>
          <w:bCs/>
          <w:szCs w:val="21"/>
        </w:rPr>
      </w:pPr>
      <w:r>
        <w:rPr>
          <w:rFonts w:ascii="宋体" w:hAnsi="宋体" w:hint="eastAsia"/>
          <w:b/>
          <w:bCs/>
          <w:szCs w:val="21"/>
        </w:rPr>
        <w:t>第三条  时间要求及阶段成果</w:t>
      </w:r>
    </w:p>
    <w:p>
      <w:pPr>
        <w:ind w:firstLine="420" w:firstLineChars="200"/>
        <w:rPr>
          <w:rFonts w:ascii="宋体" w:hAnsi="宋体"/>
          <w:szCs w:val="21"/>
        </w:rPr>
      </w:pPr>
      <w:r>
        <w:rPr>
          <w:rFonts w:ascii="宋体" w:hAnsi="宋体" w:hint="eastAsia"/>
          <w:szCs w:val="21"/>
        </w:rPr>
        <w:t>1、合同签订天内完成项目实施的准备工作，包括工作大纲和试验细则的编制；</w:t>
      </w:r>
    </w:p>
    <w:p>
      <w:pPr>
        <w:ind w:firstLine="420" w:firstLineChars="200"/>
        <w:rPr>
          <w:rFonts w:ascii="宋体" w:hAnsi="宋体"/>
          <w:szCs w:val="21"/>
        </w:rPr>
      </w:pPr>
      <w:r>
        <w:rPr>
          <w:rFonts w:ascii="宋体" w:hAnsi="宋体" w:hint="eastAsia"/>
          <w:szCs w:val="21"/>
        </w:rPr>
        <w:t xml:space="preserve">2、 </w:t>
      </w:r>
    </w:p>
    <w:p>
      <w:pPr>
        <w:ind w:firstLine="420" w:firstLineChars="200"/>
        <w:rPr>
          <w:rFonts w:ascii="宋体" w:hAnsi="宋体"/>
          <w:szCs w:val="21"/>
        </w:rPr>
      </w:pPr>
      <w:r>
        <w:rPr>
          <w:rFonts w:ascii="宋体" w:hAnsi="宋体" w:hint="eastAsia"/>
          <w:szCs w:val="21"/>
        </w:rPr>
        <w:t>3、</w:t>
      </w:r>
    </w:p>
    <w:p>
      <w:pPr>
        <w:ind w:firstLine="420" w:firstLineChars="200"/>
        <w:rPr>
          <w:rFonts w:ascii="宋体" w:hAnsi="宋体"/>
          <w:szCs w:val="21"/>
        </w:rPr>
      </w:pPr>
      <w:r>
        <w:rPr>
          <w:rFonts w:ascii="宋体" w:hAnsi="宋体" w:hint="eastAsia"/>
          <w:szCs w:val="21"/>
        </w:rPr>
        <w:t>4、</w:t>
      </w:r>
    </w:p>
    <w:p>
      <w:pPr>
        <w:ind w:firstLine="420" w:firstLineChars="200"/>
        <w:rPr>
          <w:rFonts w:ascii="宋体" w:hAnsi="宋体"/>
          <w:b/>
          <w:bCs/>
          <w:szCs w:val="21"/>
        </w:rPr>
      </w:pPr>
      <w:r>
        <w:rPr>
          <w:rFonts w:ascii="宋体" w:hAnsi="宋体" w:hint="eastAsia"/>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ascii="宋体" w:hAnsi="宋体" w:hint="eastAsia"/>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pPr>
        <w:ind w:firstLine="420" w:firstLineChars="200"/>
        <w:rPr>
          <w:rFonts w:ascii="宋体" w:hAnsi="宋体"/>
          <w:b/>
          <w:bCs/>
          <w:szCs w:val="21"/>
        </w:rPr>
      </w:pPr>
      <w:r>
        <w:rPr>
          <w:rFonts w:ascii="宋体" w:hAnsi="宋体" w:hint="eastAsia"/>
          <w:b/>
          <w:bCs/>
          <w:szCs w:val="21"/>
        </w:rPr>
        <w:t>第五条  甲方的义务</w:t>
      </w:r>
    </w:p>
    <w:p>
      <w:pPr>
        <w:ind w:firstLine="420" w:firstLineChars="200"/>
        <w:rPr>
          <w:rFonts w:ascii="宋体" w:hAnsi="宋体"/>
          <w:szCs w:val="21"/>
        </w:rPr>
      </w:pPr>
      <w:r>
        <w:rPr>
          <w:rFonts w:ascii="宋体" w:hAnsi="宋体" w:hint="eastAsia"/>
          <w:szCs w:val="21"/>
        </w:rPr>
        <w:t>1、负责与本咨询服务项目有关的第三方的协调，提供开展咨询服务工作的外部条件。</w:t>
      </w:r>
    </w:p>
    <w:p>
      <w:pPr>
        <w:ind w:firstLine="420" w:firstLineChars="200"/>
        <w:rPr>
          <w:rFonts w:ascii="宋体" w:hAnsi="宋体"/>
          <w:szCs w:val="21"/>
        </w:rPr>
      </w:pPr>
      <w:r>
        <w:rPr>
          <w:rFonts w:ascii="宋体" w:hAnsi="宋体" w:hint="eastAsia"/>
          <w:szCs w:val="21"/>
        </w:rPr>
        <w:t>2、向乙方提供与本项目咨询服务工作有关的资料。</w:t>
      </w:r>
    </w:p>
    <w:p>
      <w:pPr>
        <w:ind w:firstLine="420" w:firstLineChars="200"/>
        <w:rPr>
          <w:rFonts w:ascii="宋体" w:hAnsi="宋体"/>
          <w:szCs w:val="21"/>
        </w:rPr>
      </w:pPr>
      <w:r>
        <w:rPr>
          <w:rFonts w:ascii="宋体" w:hAnsi="宋体" w:hint="eastAsia"/>
          <w:szCs w:val="21"/>
        </w:rPr>
        <w:t>3、负责组织有关专家对项目试验成果评估报告的评审。</w:t>
      </w:r>
    </w:p>
    <w:p>
      <w:pPr>
        <w:ind w:firstLine="420" w:firstLineChars="200"/>
        <w:rPr>
          <w:rFonts w:ascii="宋体" w:hAnsi="宋体"/>
          <w:b/>
          <w:bCs/>
          <w:szCs w:val="21"/>
        </w:rPr>
      </w:pPr>
      <w:r>
        <w:rPr>
          <w:rFonts w:ascii="宋体" w:hAnsi="宋体" w:hint="eastAsia"/>
          <w:b/>
          <w:bCs/>
          <w:szCs w:val="21"/>
        </w:rPr>
        <w:t>第七条　乙方的义务</w:t>
      </w:r>
    </w:p>
    <w:p>
      <w:pPr>
        <w:ind w:firstLine="420" w:firstLineChars="200"/>
        <w:rPr>
          <w:rFonts w:ascii="宋体" w:hAnsi="宋体"/>
          <w:szCs w:val="21"/>
        </w:rPr>
      </w:pPr>
      <w:r>
        <w:rPr>
          <w:rFonts w:ascii="宋体" w:hAnsi="宋体" w:hint="eastAsia"/>
          <w:szCs w:val="21"/>
        </w:rPr>
        <w:t>１、应按照招标文件、投标文件要求按期完成本项目咨询服务工作。</w:t>
      </w:r>
    </w:p>
    <w:p>
      <w:pPr>
        <w:ind w:firstLine="420" w:firstLineChars="200"/>
        <w:rPr>
          <w:rFonts w:ascii="宋体" w:hAnsi="宋体"/>
          <w:szCs w:val="21"/>
        </w:rPr>
      </w:pPr>
      <w:r>
        <w:rPr>
          <w:rFonts w:ascii="宋体" w:hAnsi="宋体" w:hint="eastAsia"/>
          <w:szCs w:val="21"/>
        </w:rPr>
        <w:t>2、负责组织项目的实施，保证工程进度和成桥荷载试验工作质量，并满足交通部交工验收相关标准。</w:t>
      </w:r>
    </w:p>
    <w:p>
      <w:pPr>
        <w:ind w:firstLine="420" w:firstLineChars="200"/>
        <w:rPr>
          <w:rFonts w:ascii="宋体" w:hAnsi="宋体"/>
          <w:szCs w:val="21"/>
        </w:rPr>
      </w:pPr>
      <w:r>
        <w:rPr>
          <w:rFonts w:ascii="宋体" w:hAnsi="宋体" w:hint="eastAsia"/>
          <w:szCs w:val="21"/>
        </w:rPr>
        <w:t>3、</w:t>
      </w:r>
      <w:r>
        <w:rPr>
          <w:rFonts w:ascii="宋体" w:hAnsi="宋体" w:hint="eastAsia"/>
        </w:rPr>
        <w:t>向甲方提交检测资料等各套，一套电子版文件。</w:t>
      </w:r>
    </w:p>
    <w:p>
      <w:pPr>
        <w:ind w:firstLine="420" w:firstLineChars="200"/>
        <w:rPr>
          <w:rFonts w:ascii="宋体" w:hAnsi="宋体"/>
          <w:szCs w:val="21"/>
        </w:rPr>
      </w:pPr>
      <w:r>
        <w:rPr>
          <w:rFonts w:ascii="宋体" w:hAnsi="宋体" w:hint="eastAsia"/>
          <w:szCs w:val="21"/>
        </w:rPr>
        <w:t>4、在履行合同期间或合同规定期限内，不得泄露与本合同规定业务活动有关的保密资料。</w:t>
      </w:r>
    </w:p>
    <w:p>
      <w:pPr>
        <w:ind w:firstLine="420" w:firstLineChars="200"/>
        <w:rPr>
          <w:rFonts w:ascii="宋体" w:hAnsi="宋体"/>
          <w:b/>
          <w:bCs/>
          <w:szCs w:val="21"/>
        </w:rPr>
      </w:pPr>
      <w:r>
        <w:rPr>
          <w:rFonts w:ascii="宋体" w:hAnsi="宋体" w:hint="eastAsia"/>
          <w:b/>
          <w:bCs/>
          <w:szCs w:val="21"/>
        </w:rPr>
        <w:t>第八条  甲方的权利</w:t>
      </w:r>
    </w:p>
    <w:p>
      <w:pPr>
        <w:ind w:firstLine="420" w:firstLineChars="200"/>
        <w:rPr>
          <w:rFonts w:ascii="宋体" w:hAnsi="宋体"/>
          <w:szCs w:val="21"/>
        </w:rPr>
      </w:pPr>
      <w:r>
        <w:rPr>
          <w:rFonts w:ascii="宋体" w:hAnsi="宋体"/>
          <w:szCs w:val="21"/>
        </w:rPr>
        <w:t>1</w:t>
      </w:r>
      <w:r>
        <w:rPr>
          <w:rFonts w:ascii="宋体" w:hAnsi="宋体" w:hint="eastAsia"/>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ascii="宋体" w:hAnsi="宋体" w:hint="eastAsia"/>
          <w:szCs w:val="21"/>
        </w:rPr>
        <w:t>、有权阐述对具体问题的意见和建议。</w:t>
      </w:r>
    </w:p>
    <w:p>
      <w:pPr>
        <w:ind w:firstLine="420" w:firstLineChars="20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pPr>
        <w:ind w:firstLine="420" w:firstLineChars="200"/>
        <w:rPr>
          <w:rFonts w:ascii="宋体" w:hAnsi="宋体"/>
          <w:b/>
          <w:bCs/>
          <w:szCs w:val="21"/>
        </w:rPr>
      </w:pPr>
      <w:r>
        <w:rPr>
          <w:rFonts w:ascii="宋体" w:hAnsi="宋体" w:hint="eastAsia"/>
          <w:b/>
          <w:bCs/>
          <w:szCs w:val="21"/>
        </w:rPr>
        <w:t>第九条  乙方的权利</w:t>
      </w:r>
    </w:p>
    <w:p>
      <w:pPr>
        <w:ind w:firstLine="420" w:firstLineChars="20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pPr>
        <w:ind w:firstLine="420" w:firstLineChars="200"/>
        <w:rPr>
          <w:rFonts w:ascii="宋体" w:hAnsi="宋体"/>
          <w:b/>
          <w:bCs/>
          <w:szCs w:val="21"/>
        </w:rPr>
      </w:pPr>
      <w:r>
        <w:rPr>
          <w:rFonts w:ascii="宋体" w:hAnsi="宋体" w:hint="eastAsia"/>
          <w:b/>
          <w:bCs/>
          <w:szCs w:val="21"/>
        </w:rPr>
        <w:t>第十条  甲方的责任</w:t>
      </w:r>
    </w:p>
    <w:p>
      <w:pPr>
        <w:ind w:firstLine="420" w:firstLineChars="200"/>
        <w:rPr>
          <w:rFonts w:ascii="宋体" w:hAnsi="宋体"/>
          <w:szCs w:val="21"/>
        </w:rPr>
      </w:pPr>
      <w:r>
        <w:rPr>
          <w:rFonts w:ascii="宋体" w:hAnsi="宋体" w:hint="eastAsia"/>
          <w:szCs w:val="21"/>
        </w:rPr>
        <w:t>1、应当履行本合同约定的义务，如有违反则应当承担违约责任，赔偿给乙方造成的损失。</w:t>
      </w:r>
    </w:p>
    <w:p>
      <w:pPr>
        <w:ind w:firstLine="420" w:firstLineChars="20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pPr>
        <w:ind w:firstLine="420" w:firstLineChars="200"/>
        <w:rPr>
          <w:rFonts w:ascii="宋体" w:hAnsi="宋体"/>
          <w:b/>
          <w:bCs/>
          <w:szCs w:val="21"/>
        </w:rPr>
      </w:pPr>
      <w:r>
        <w:rPr>
          <w:rFonts w:ascii="宋体" w:hAnsi="宋体" w:hint="eastAsia"/>
          <w:b/>
          <w:bCs/>
          <w:szCs w:val="21"/>
        </w:rPr>
        <w:t>第十一条  乙方的责任</w:t>
      </w:r>
    </w:p>
    <w:p>
      <w:pPr>
        <w:ind w:firstLine="420" w:firstLineChars="20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pPr>
        <w:ind w:firstLine="420" w:firstLineChars="200"/>
        <w:rPr>
          <w:rFonts w:ascii="宋体" w:hAnsi="宋体"/>
          <w:b/>
          <w:bCs/>
          <w:szCs w:val="21"/>
        </w:rPr>
      </w:pPr>
      <w:r>
        <w:rPr>
          <w:rFonts w:ascii="宋体" w:hAnsi="宋体" w:hint="eastAsia"/>
          <w:b/>
          <w:bCs/>
          <w:szCs w:val="21"/>
        </w:rPr>
        <w:t>第十二条  人员要求</w:t>
      </w:r>
    </w:p>
    <w:p>
      <w:pPr>
        <w:ind w:firstLine="420" w:firstLineChars="200"/>
        <w:rPr>
          <w:rFonts w:ascii="宋体" w:hAnsi="宋体"/>
          <w:szCs w:val="21"/>
        </w:rPr>
      </w:pPr>
      <w:r>
        <w:rPr>
          <w:rFonts w:ascii="宋体" w:hAnsi="宋体" w:hint="eastAsia"/>
          <w:szCs w:val="21"/>
        </w:rPr>
        <w:t>1、参加本项目试验的人员必须具有国家和有关部门规定的相应资质。</w:t>
      </w:r>
    </w:p>
    <w:p>
      <w:pPr>
        <w:ind w:firstLine="420" w:firstLineChars="200"/>
        <w:rPr>
          <w:rFonts w:ascii="宋体" w:hAnsi="宋体"/>
          <w:szCs w:val="21"/>
        </w:rPr>
      </w:pPr>
      <w:r>
        <w:rPr>
          <w:rFonts w:ascii="宋体" w:hAnsi="宋体" w:hint="eastAsia"/>
          <w:szCs w:val="21"/>
        </w:rPr>
        <w:t>2、 参加本项目的试验人员的配置必须与投标文件中的服务承诺书和试验服务组织实施方案一致。</w:t>
      </w:r>
    </w:p>
    <w:p>
      <w:pPr>
        <w:ind w:firstLine="420" w:firstLineChars="200"/>
        <w:rPr>
          <w:rFonts w:ascii="宋体" w:hAnsi="宋体"/>
          <w:szCs w:val="21"/>
        </w:rPr>
      </w:pPr>
      <w:r>
        <w:rPr>
          <w:rFonts w:ascii="宋体" w:hAnsi="宋体" w:hint="eastAsia"/>
          <w:szCs w:val="21"/>
        </w:rPr>
        <w:t>3、必须以直属试验人员参与本项目服务，不得使用挂靠队伍。</w:t>
      </w:r>
    </w:p>
    <w:p>
      <w:pPr>
        <w:ind w:firstLine="420" w:firstLineChars="200"/>
        <w:rPr>
          <w:rFonts w:ascii="宋体" w:hAnsi="宋体"/>
          <w:b/>
          <w:bCs/>
          <w:szCs w:val="21"/>
        </w:rPr>
      </w:pPr>
      <w:r>
        <w:rPr>
          <w:rFonts w:ascii="宋体" w:hAnsi="宋体" w:hint="eastAsia"/>
          <w:b/>
          <w:bCs/>
          <w:szCs w:val="21"/>
        </w:rPr>
        <w:t>第十三条  乙方咨询服务工具要求</w:t>
      </w:r>
    </w:p>
    <w:p>
      <w:pPr>
        <w:ind w:firstLine="420" w:firstLineChars="20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ascii="宋体" w:hAnsi="宋体" w:hint="eastAsia"/>
          <w:szCs w:val="21"/>
        </w:rPr>
        <w:t>2、乙方在提供服务过程中应自备车辆。</w:t>
      </w:r>
    </w:p>
    <w:p>
      <w:pPr>
        <w:ind w:firstLine="420" w:firstLineChars="200"/>
        <w:rPr>
          <w:rFonts w:ascii="宋体" w:hAnsi="宋体"/>
          <w:b/>
          <w:bCs/>
          <w:szCs w:val="21"/>
        </w:rPr>
      </w:pPr>
      <w:r>
        <w:rPr>
          <w:rFonts w:ascii="宋体" w:hAnsi="宋体" w:hint="eastAsia"/>
          <w:b/>
          <w:bCs/>
          <w:szCs w:val="21"/>
        </w:rPr>
        <w:t>第十四条  保密要求</w:t>
      </w:r>
    </w:p>
    <w:p>
      <w:pPr>
        <w:ind w:firstLine="420" w:firstLineChars="20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pPr>
        <w:ind w:firstLine="420" w:firstLineChars="20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pPr>
        <w:ind w:firstLine="420" w:firstLineChars="20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pPr>
        <w:ind w:firstLine="420" w:firstLineChars="200"/>
        <w:rPr>
          <w:rFonts w:ascii="宋体" w:hAnsi="宋体"/>
          <w:b/>
          <w:bCs/>
          <w:szCs w:val="21"/>
        </w:rPr>
      </w:pPr>
      <w:r>
        <w:rPr>
          <w:rFonts w:ascii="宋体" w:hAnsi="宋体" w:hint="eastAsia"/>
          <w:b/>
          <w:bCs/>
          <w:szCs w:val="21"/>
        </w:rPr>
        <w:t xml:space="preserve">第十五条  验收     </w:t>
      </w:r>
    </w:p>
    <w:p>
      <w:pPr>
        <w:ind w:firstLine="420" w:firstLineChars="20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pPr>
        <w:ind w:firstLine="420" w:firstLineChars="20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ascii="宋体" w:hAnsi="宋体" w:hint="eastAsia"/>
          <w:szCs w:val="21"/>
        </w:rPr>
        <w:t>3、验收依据为招标文件、投标文件，国家和行业有关规范、规程和标准。</w:t>
      </w:r>
    </w:p>
    <w:p>
      <w:pPr>
        <w:ind w:firstLine="420" w:firstLineChars="200"/>
        <w:rPr>
          <w:rFonts w:ascii="宋体" w:hAnsi="宋体"/>
          <w:b/>
          <w:bCs/>
          <w:szCs w:val="21"/>
        </w:rPr>
      </w:pPr>
      <w:r>
        <w:rPr>
          <w:rFonts w:ascii="宋体" w:hAnsi="宋体" w:hint="eastAsia"/>
          <w:b/>
          <w:bCs/>
          <w:szCs w:val="21"/>
        </w:rPr>
        <w:t>第十六条  付款方式</w:t>
      </w:r>
    </w:p>
    <w:p>
      <w:pPr>
        <w:ind w:firstLine="420" w:firstLineChars="200"/>
        <w:rPr>
          <w:rFonts w:ascii="宋体" w:hAnsi="宋体"/>
          <w:szCs w:val="21"/>
        </w:rPr>
      </w:pPr>
      <w:r>
        <w:rPr>
          <w:rFonts w:ascii="宋体" w:hAnsi="宋体" w:hint="eastAsia"/>
          <w:szCs w:val="21"/>
        </w:rPr>
        <w:t>1、合同签订后   天内乙方向甲方开具合法有效的发票后，甲方于   天内向乙方支付合同总价%的款项。</w:t>
      </w:r>
    </w:p>
    <w:p>
      <w:pPr>
        <w:ind w:firstLine="420" w:firstLineChars="200"/>
        <w:rPr>
          <w:rFonts w:ascii="宋体" w:hAnsi="宋体"/>
          <w:szCs w:val="21"/>
        </w:rPr>
      </w:pPr>
      <w:r>
        <w:rPr>
          <w:rFonts w:ascii="宋体" w:hAnsi="宋体" w:hint="eastAsia"/>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ascii="宋体" w:hAnsi="宋体" w:hint="eastAsia"/>
          <w:szCs w:val="21"/>
        </w:rPr>
        <w:t>3、报告通过专家评审后，甲方向乙方支付合同总价%的款项。</w:t>
      </w:r>
    </w:p>
    <w:p>
      <w:pPr>
        <w:ind w:firstLine="420" w:firstLineChars="200"/>
        <w:rPr>
          <w:rFonts w:ascii="宋体" w:hAnsi="宋体"/>
          <w:b/>
          <w:bCs/>
          <w:szCs w:val="21"/>
        </w:rPr>
      </w:pPr>
      <w:r>
        <w:rPr>
          <w:rFonts w:ascii="宋体" w:hAnsi="宋体" w:hint="eastAsia"/>
          <w:b/>
          <w:bCs/>
          <w:szCs w:val="21"/>
        </w:rPr>
        <w:t>第十七条  争议解决办法</w:t>
      </w:r>
    </w:p>
    <w:p>
      <w:pPr>
        <w:ind w:firstLine="420" w:firstLineChars="200"/>
        <w:rPr>
          <w:rFonts w:ascii="宋体" w:hAnsi="宋体"/>
          <w:szCs w:val="21"/>
        </w:rPr>
      </w:pPr>
      <w:r>
        <w:rPr>
          <w:rFonts w:ascii="宋体" w:hAnsi="宋体" w:hint="eastAsia"/>
          <w:szCs w:val="21"/>
        </w:rPr>
        <w:t>执行本合同发生的争议，由甲乙双方协商解决，如协商不成的，应提交甲方所在地人民法院诉讼解决。</w:t>
      </w:r>
    </w:p>
    <w:p>
      <w:pPr>
        <w:ind w:firstLine="420" w:firstLineChars="200"/>
        <w:rPr>
          <w:rFonts w:ascii="宋体" w:hAnsi="宋体"/>
          <w:b/>
          <w:bCs/>
          <w:szCs w:val="21"/>
        </w:rPr>
      </w:pPr>
      <w:r>
        <w:rPr>
          <w:rFonts w:ascii="宋体" w:hAnsi="宋体" w:hint="eastAsia"/>
          <w:b/>
          <w:bCs/>
          <w:szCs w:val="21"/>
        </w:rPr>
        <w:t>第十八条  风险责任</w:t>
      </w:r>
    </w:p>
    <w:p>
      <w:pPr>
        <w:ind w:firstLine="420" w:firstLineChars="20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ascii="宋体" w:hAnsi="宋体" w:hint="eastAsia"/>
          <w:szCs w:val="21"/>
        </w:rPr>
        <w:t>2、乙方在实施荷载试验过程中应对自身的安全生产负责，若非因甲方原因发生的各种事故甲方不承担任何责任。</w:t>
      </w:r>
    </w:p>
    <w:p>
      <w:pPr>
        <w:ind w:firstLine="420" w:firstLineChars="200"/>
        <w:rPr>
          <w:rFonts w:ascii="宋体" w:hAnsi="宋体"/>
          <w:b/>
          <w:bCs/>
          <w:szCs w:val="21"/>
        </w:rPr>
      </w:pPr>
      <w:r>
        <w:rPr>
          <w:rFonts w:ascii="宋体" w:hAnsi="宋体" w:hint="eastAsia"/>
          <w:b/>
          <w:bCs/>
          <w:szCs w:val="21"/>
        </w:rPr>
        <w:t>第十九条  违约责任</w:t>
      </w:r>
    </w:p>
    <w:p>
      <w:pPr>
        <w:pStyle w:val="BodyTextIndent"/>
        <w:spacing w:line="240" w:lineRule="auto"/>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ascii="宋体" w:hAnsi="宋体" w:hint="eastAsia"/>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pPr>
        <w:ind w:firstLine="420" w:firstLineChars="200"/>
        <w:rPr>
          <w:rFonts w:ascii="宋体" w:hAnsi="宋体"/>
          <w:b/>
          <w:bCs/>
          <w:szCs w:val="21"/>
        </w:rPr>
      </w:pPr>
      <w:r>
        <w:rPr>
          <w:rFonts w:ascii="宋体" w:hAnsi="宋体" w:hint="eastAsia"/>
          <w:b/>
          <w:bCs/>
          <w:szCs w:val="21"/>
        </w:rPr>
        <w:t>第二十条  其他</w:t>
      </w:r>
    </w:p>
    <w:p>
      <w:pPr>
        <w:ind w:firstLine="420" w:firstLineChars="200"/>
        <w:rPr>
          <w:rFonts w:ascii="宋体" w:hAnsi="宋体"/>
          <w:szCs w:val="21"/>
        </w:rPr>
      </w:pPr>
      <w:r>
        <w:rPr>
          <w:rFonts w:ascii="宋体" w:hAnsi="宋体" w:hint="eastAsia"/>
          <w:szCs w:val="21"/>
        </w:rPr>
        <w:t>1、本合同与招标文件、乙方投标文件如有抵触之处，以本合同条款为准。</w:t>
      </w:r>
    </w:p>
    <w:p>
      <w:pPr>
        <w:ind w:firstLine="420" w:firstLineChars="200"/>
        <w:rPr>
          <w:rFonts w:ascii="宋体" w:hAnsi="宋体"/>
          <w:szCs w:val="21"/>
        </w:rPr>
      </w:pPr>
      <w:r>
        <w:rPr>
          <w:rFonts w:ascii="宋体" w:hAnsi="宋体" w:hint="eastAsia"/>
          <w:szCs w:val="21"/>
        </w:rPr>
        <w:t>2、下列文件均为本合同的组成部分：</w:t>
      </w:r>
    </w:p>
    <w:p>
      <w:pPr>
        <w:ind w:firstLine="420" w:firstLineChars="200"/>
        <w:rPr>
          <w:rFonts w:ascii="宋体" w:hAnsi="宋体"/>
          <w:szCs w:val="21"/>
        </w:rPr>
      </w:pPr>
      <w:r>
        <w:rPr>
          <w:rFonts w:ascii="宋体" w:hAnsi="宋体" w:hint="eastAsia"/>
          <w:szCs w:val="21"/>
        </w:rPr>
        <w:t>（1）号招标文件、答疑及补充通知；</w:t>
      </w:r>
    </w:p>
    <w:p>
      <w:pPr>
        <w:ind w:firstLine="420" w:firstLineChars="200"/>
        <w:rPr>
          <w:rFonts w:ascii="宋体" w:hAnsi="宋体"/>
          <w:szCs w:val="21"/>
        </w:rPr>
      </w:pPr>
      <w:r>
        <w:rPr>
          <w:rFonts w:ascii="宋体" w:hAnsi="宋体" w:hint="eastAsia"/>
          <w:szCs w:val="21"/>
        </w:rPr>
        <w:t>（2）投标文件；</w:t>
      </w:r>
    </w:p>
    <w:p>
      <w:pPr>
        <w:ind w:firstLine="420" w:firstLineChars="200"/>
        <w:rPr>
          <w:rFonts w:ascii="宋体" w:hAnsi="宋体"/>
          <w:szCs w:val="21"/>
        </w:rPr>
      </w:pPr>
      <w:r>
        <w:rPr>
          <w:rFonts w:ascii="宋体" w:hAnsi="宋体" w:hint="eastAsia"/>
          <w:szCs w:val="21"/>
        </w:rPr>
        <w:t>（3）本合同执行中共同签署的补充与修正文件。</w:t>
      </w:r>
    </w:p>
    <w:p>
      <w:pPr>
        <w:ind w:firstLine="420" w:firstLineChars="20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ascii="宋体" w:hAnsi="宋体" w:hint="eastAsia"/>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420" w:firstLineChars="200"/>
        <w:rPr>
          <w:rFonts w:ascii="宋体" w:hAnsi="宋体"/>
          <w:szCs w:val="21"/>
        </w:rPr>
      </w:pPr>
      <w:r>
        <w:rPr>
          <w:rFonts w:ascii="宋体" w:hAnsi="宋体" w:hint="eastAsia"/>
          <w:szCs w:val="21"/>
        </w:rPr>
        <w:t>日期：   年     月    日         日期：   年     月    日</w:t>
      </w: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12"/>
        </w:numPr>
        <w:spacing w:before="120" w:beforeLines="50" w:after="120" w:afterLines="50"/>
        <w:ind w:left="562" w:hanging="562"/>
        <w:rPr>
          <w:sz w:val="28"/>
          <w:szCs w:val="28"/>
        </w:rPr>
      </w:pPr>
      <w:bookmarkStart w:id="47" w:name="_Hlk72399513"/>
      <w:r>
        <w:rPr>
          <w:rFonts w:hint="eastAsia"/>
          <w:sz w:val="28"/>
          <w:szCs w:val="28"/>
        </w:rPr>
        <w:t>总则</w:t>
      </w:r>
    </w:p>
    <w:p>
      <w:pPr>
        <w:outlineLvl w:val="1"/>
        <w:rPr>
          <w:rFonts w:ascii="黑体" w:eastAsia="黑体" w:hAnsi="宋体"/>
          <w:sz w:val="24"/>
        </w:rPr>
      </w:pPr>
      <w:bookmarkEnd w:id="47"/>
      <w:r>
        <w:rPr>
          <w:rFonts w:ascii="黑体" w:eastAsia="黑体" w:hAnsi="宋体" w:hint="eastAsia"/>
          <w:sz w:val="24"/>
        </w:rPr>
        <w:t>1. 通用条款说明</w:t>
      </w:r>
    </w:p>
    <w:p>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48" w:name="_Hlk72399729"/>
      <w:r>
        <w:rPr>
          <w:rFonts w:ascii="宋体" w:hAnsi="宋体" w:hint="eastAsia"/>
          <w:szCs w:val="21"/>
        </w:rPr>
        <w:t>如有需要，政府集中采购机构可以对通用条款的内容进行补充。</w:t>
      </w:r>
      <w:bookmarkEnd w:id="48"/>
    </w:p>
    <w:p>
      <w:pPr>
        <w:ind w:firstLine="412" w:firstLineChars="196"/>
        <w:rPr>
          <w:rFonts w:ascii="宋体" w:hAnsi="宋体"/>
          <w:szCs w:val="21"/>
        </w:rPr>
      </w:pPr>
      <w:r>
        <w:rPr>
          <w:rFonts w:ascii="宋体" w:hAnsi="宋体" w:hint="eastAsia"/>
          <w:szCs w:val="21"/>
        </w:rPr>
        <w:t>1.2招标文件分为第一册“专用条款”和第二册“通用条款”。</w:t>
      </w:r>
    </w:p>
    <w:p>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12"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20" w:firstLineChars="200"/>
        <w:rPr>
          <w:rFonts w:ascii="宋体" w:hAnsi="宋体"/>
          <w:szCs w:val="21"/>
        </w:rPr>
      </w:pPr>
      <w:r>
        <w:rPr>
          <w:rFonts w:ascii="宋体" w:hAnsi="宋体"/>
          <w:szCs w:val="21"/>
        </w:rPr>
        <w:t>招标文件中下列术语应解释为：</w:t>
      </w:r>
    </w:p>
    <w:p>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12" w:firstLineChars="196"/>
        <w:rPr>
          <w:rFonts w:ascii="宋体" w:hAnsi="宋体"/>
          <w:szCs w:val="21"/>
        </w:rPr>
      </w:pPr>
      <w:r>
        <w:rPr>
          <w:rFonts w:ascii="宋体" w:hAnsi="宋体" w:hint="eastAsia"/>
          <w:szCs w:val="21"/>
        </w:rPr>
        <w:t>3.4“中标候选人”即“候选中标供应商”；</w:t>
      </w:r>
    </w:p>
    <w:p>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szCs w:val="21"/>
        </w:rPr>
      </w:pPr>
      <w:r>
        <w:rPr>
          <w:rFonts w:ascii="宋体" w:hAnsi="宋体" w:hint="eastAsia"/>
          <w:szCs w:val="21"/>
        </w:rPr>
        <w:t>3.6“日期”指公历日；</w:t>
      </w:r>
    </w:p>
    <w:p>
      <w:pPr>
        <w:ind w:firstLine="412" w:firstLineChars="196"/>
        <w:rPr>
          <w:rFonts w:ascii="宋体" w:hAnsi="宋体"/>
          <w:szCs w:val="21"/>
        </w:rPr>
      </w:pPr>
      <w:r>
        <w:rPr>
          <w:rFonts w:ascii="宋体" w:hAnsi="宋体" w:hint="eastAsia"/>
          <w:szCs w:val="21"/>
        </w:rPr>
        <w:t>3.7“合同”指由本次招标所产生的合同或合约文件；</w:t>
      </w:r>
    </w:p>
    <w:p>
      <w:pPr>
        <w:ind w:firstLine="412" w:firstLineChars="196"/>
        <w:rPr>
          <w:rFonts w:ascii="宋体" w:hAnsi="宋体"/>
          <w:szCs w:val="21"/>
        </w:rPr>
      </w:pPr>
      <w:r>
        <w:rPr>
          <w:rFonts w:ascii="宋体" w:hAnsi="宋体" w:hint="eastAsia"/>
          <w:szCs w:val="21"/>
        </w:rPr>
        <w:t>3.8“电子投标文件”指利用深圳公共资源交易中心（深圳交易集团有限公司政府采购业务分公司）网站提供的深圳智慧采购平台投标文件制作专用软件（以下简称：投标文件制作软件）制作并加密的投标文件,适用于网上投标；（投标文件制作软件可从“下载地址：http://zfcg.szggzy.com:8081/cgxy/013002/20210923/173e0b2c-7a4c-4246-a0c7-e0ea75d84dd6.html”下载）；</w:t>
      </w:r>
    </w:p>
    <w:p>
      <w:pPr>
        <w:ind w:firstLine="412" w:firstLineChars="196"/>
        <w:rPr>
          <w:rFonts w:ascii="宋体" w:hAnsi="宋体"/>
          <w:szCs w:val="21"/>
        </w:rPr>
      </w:pPr>
      <w:r>
        <w:rPr>
          <w:rFonts w:ascii="宋体" w:hAnsi="宋体" w:hint="eastAsia"/>
          <w:szCs w:val="21"/>
        </w:rPr>
        <w:t>3.9“网上投标”指通过深圳公共资源交易中心（深圳交易集团有限公司政府采购业务分公司）网站上传电子投标文件；</w:t>
      </w:r>
    </w:p>
    <w:p>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49" w:name="_Hlk72398643"/>
      <w:r>
        <w:rPr>
          <w:rFonts w:ascii="黑体" w:eastAsia="黑体" w:hAnsi="宋体" w:hint="eastAsia"/>
          <w:sz w:val="24"/>
        </w:rPr>
        <w:t>政府采购供应商责任</w:t>
      </w:r>
    </w:p>
    <w:p>
      <w:pPr>
        <w:ind w:firstLine="412" w:firstLineChars="196"/>
        <w:rPr>
          <w:rFonts w:ascii="宋体" w:hAnsi="宋体"/>
          <w:szCs w:val="21"/>
        </w:rPr>
      </w:pPr>
      <w:r>
        <w:rPr>
          <w:rFonts w:ascii="宋体" w:hAnsi="宋体" w:hint="eastAsia"/>
          <w:szCs w:val="21"/>
        </w:rPr>
        <w:t>4.1欢迎诚信、有实力和有社会责任心的供应商参与政府采购事业。</w:t>
      </w:r>
    </w:p>
    <w:p>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ascii="宋体" w:hAnsi="宋体" w:hint="eastAsia"/>
          <w:szCs w:val="21"/>
        </w:rPr>
        <w:t>》详见</w:t>
      </w:r>
      <w:r>
        <w:rPr>
          <w:rFonts w:hint="eastAsia"/>
        </w:rPr>
        <w:t>http://zfcg.szggzy.com:8081/</w:t>
      </w:r>
      <w:r>
        <w:rPr>
          <w:rFonts w:ascii="宋体" w:hAnsi="宋体" w:hint="eastAsia"/>
          <w:szCs w:val="21"/>
        </w:rPr>
        <w:t>。</w:t>
      </w:r>
    </w:p>
    <w:p>
      <w:pPr>
        <w:ind w:firstLine="412" w:firstLineChars="196"/>
        <w:rPr>
          <w:rFonts w:ascii="宋体" w:hAnsi="宋体"/>
          <w:szCs w:val="21"/>
        </w:rPr>
      </w:pPr>
      <w:r>
        <w:rPr>
          <w:rFonts w:ascii="宋体" w:hAnsi="宋体" w:hint="eastAsia"/>
          <w:szCs w:val="21"/>
        </w:rPr>
        <w:t>5.2投标人资格要求</w:t>
      </w:r>
    </w:p>
    <w:p>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12" w:firstLineChars="196"/>
        <w:rPr>
          <w:rFonts w:ascii="宋体" w:hAnsi="宋体"/>
          <w:szCs w:val="21"/>
        </w:rPr>
      </w:pPr>
      <w:r>
        <w:rPr>
          <w:rFonts w:ascii="宋体" w:hAnsi="宋体" w:hint="eastAsia"/>
          <w:szCs w:val="21"/>
        </w:rPr>
        <w:t>5.3联合体投标</w:t>
      </w:r>
    </w:p>
    <w:p>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12" w:firstLineChars="196"/>
        <w:rPr>
          <w:rFonts w:ascii="宋体" w:hAnsi="宋体"/>
        </w:rPr>
      </w:pPr>
      <w:r>
        <w:rPr>
          <w:rFonts w:ascii="宋体" w:hAnsi="宋体" w:hint="eastAsia"/>
        </w:rPr>
        <w:t>（1）投标联合体各方参加政府采购活动应当具备下列条件：</w:t>
      </w:r>
    </w:p>
    <w:p>
      <w:pPr>
        <w:ind w:left="420" w:firstLine="412" w:leftChars="200" w:firstLineChars="196"/>
        <w:rPr>
          <w:rFonts w:ascii="宋体" w:hAnsi="宋体"/>
        </w:rPr>
      </w:pPr>
      <w:r>
        <w:rPr>
          <w:rFonts w:ascii="宋体" w:hAnsi="宋体" w:hint="eastAsia"/>
        </w:rPr>
        <w:t>1、具有独立承担民事责任的能力；</w:t>
      </w:r>
    </w:p>
    <w:p>
      <w:pPr>
        <w:ind w:left="420" w:firstLine="412" w:firstLineChars="196"/>
        <w:rPr>
          <w:rFonts w:ascii="宋体" w:hAnsi="宋体"/>
        </w:rPr>
      </w:pPr>
      <w:r>
        <w:rPr>
          <w:rFonts w:ascii="宋体" w:hAnsi="宋体" w:hint="eastAsia"/>
        </w:rPr>
        <w:t>2、有良好的商业信誉和健全的财务会计制度；</w:t>
      </w:r>
    </w:p>
    <w:p>
      <w:pPr>
        <w:ind w:left="420" w:firstLine="412" w:leftChars="200" w:firstLineChars="196"/>
        <w:rPr>
          <w:rFonts w:ascii="宋体" w:hAnsi="宋体"/>
        </w:rPr>
      </w:pPr>
      <w:r>
        <w:rPr>
          <w:rFonts w:ascii="宋体" w:hAnsi="宋体" w:hint="eastAsia"/>
        </w:rPr>
        <w:t>3、具有履行合同所必需的设备和专业技术能力；</w:t>
      </w:r>
    </w:p>
    <w:p>
      <w:pPr>
        <w:ind w:left="420" w:firstLine="412" w:leftChars="200" w:firstLineChars="196"/>
        <w:rPr>
          <w:rFonts w:ascii="宋体" w:hAnsi="宋体"/>
        </w:rPr>
      </w:pPr>
      <w:r>
        <w:rPr>
          <w:rFonts w:ascii="宋体" w:hAnsi="宋体" w:hint="eastAsia"/>
        </w:rPr>
        <w:t>4、有依法缴纳税收和社会保障资金的良好记录；</w:t>
      </w:r>
    </w:p>
    <w:p>
      <w:pPr>
        <w:ind w:left="420" w:firstLine="412" w:leftChars="200" w:firstLineChars="196"/>
        <w:rPr>
          <w:rFonts w:ascii="宋体" w:hAnsi="宋体"/>
        </w:rPr>
      </w:pPr>
      <w:r>
        <w:rPr>
          <w:rFonts w:ascii="宋体" w:hAnsi="宋体" w:hint="eastAsia"/>
        </w:rPr>
        <w:t>5、参加政府采购活动前三年内，在经营活动中没有重大违法记录；</w:t>
      </w:r>
    </w:p>
    <w:p>
      <w:pPr>
        <w:ind w:left="420" w:firstLine="412" w:leftChars="200" w:firstLineChars="196"/>
        <w:rPr>
          <w:rFonts w:ascii="宋体" w:hAnsi="宋体"/>
        </w:rPr>
      </w:pPr>
      <w:r>
        <w:rPr>
          <w:rFonts w:ascii="宋体" w:hAnsi="宋体" w:hint="eastAsia"/>
        </w:rPr>
        <w:t>6、法律、行政法规规定的其他条件。</w:t>
      </w:r>
    </w:p>
    <w:p>
      <w:pPr>
        <w:ind w:firstLine="412" w:firstLineChars="196"/>
        <w:rPr>
          <w:rFonts w:ascii="宋体" w:hAnsi="宋体"/>
        </w:rPr>
      </w:pPr>
      <w:r>
        <w:rPr>
          <w:rFonts w:ascii="宋体" w:hAnsi="宋体" w:hint="eastAsia"/>
        </w:rPr>
        <w:t>（2）在投标截止前，投标联合体各方均应注册成政府集中采购机构供应商；</w:t>
      </w:r>
    </w:p>
    <w:p>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12"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rPr>
      </w:pPr>
      <w:r>
        <w:rPr>
          <w:rFonts w:ascii="宋体" w:hAnsi="宋体" w:hint="eastAsia"/>
        </w:rPr>
        <w:t>（5）投标人的投标文件及中标后签署的合同协议对联合体各方均具法律约束力；</w:t>
      </w:r>
    </w:p>
    <w:p>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50"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rPr>
      </w:pPr>
      <w:r>
        <w:rPr>
          <w:rFonts w:ascii="宋体" w:hAnsi="宋体" w:hint="eastAsia"/>
        </w:rPr>
        <w:t>9.3采购人应当通过政府集中采购机构向投标人提供有关现场的书面资料和数据。</w:t>
      </w:r>
    </w:p>
    <w:p>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12"/>
        </w:numPr>
        <w:tabs>
          <w:tab w:val="left" w:pos="360"/>
          <w:tab w:val="clear" w:pos="720"/>
        </w:tabs>
        <w:spacing w:before="120" w:beforeLines="50" w:after="120" w:afterLines="50"/>
        <w:ind w:left="562" w:hanging="562"/>
        <w:rPr>
          <w:sz w:val="28"/>
          <w:szCs w:val="28"/>
        </w:rPr>
      </w:pPr>
      <w:bookmarkEnd w:id="49"/>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51" w:name="_Hlk72399819"/>
      <w:r>
        <w:rPr>
          <w:rFonts w:ascii="黑体" w:eastAsia="黑体" w:hAnsi="宋体" w:hint="eastAsia"/>
          <w:sz w:val="24"/>
        </w:rPr>
        <w:t>招标文件的编制与组成</w:t>
      </w:r>
    </w:p>
    <w:p>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12" w:firstLineChars="196"/>
        <w:rPr>
          <w:rFonts w:ascii="宋体" w:hAnsi="宋体"/>
          <w:szCs w:val="21"/>
        </w:rPr>
      </w:pPr>
      <w:r>
        <w:rPr>
          <w:rFonts w:ascii="宋体" w:hAnsi="宋体" w:hint="eastAsia"/>
          <w:szCs w:val="21"/>
        </w:rPr>
        <w:t>招标文件包括下列内容：</w:t>
      </w:r>
    </w:p>
    <w:p>
      <w:pPr>
        <w:ind w:left="420" w:firstLine="412" w:leftChars="200" w:firstLineChars="196"/>
        <w:rPr>
          <w:rFonts w:ascii="宋体" w:hAnsi="宋体"/>
          <w:b/>
          <w:szCs w:val="21"/>
        </w:rPr>
      </w:pPr>
      <w:r>
        <w:rPr>
          <w:rFonts w:ascii="宋体" w:hAnsi="宋体" w:hint="eastAsia"/>
          <w:b/>
          <w:szCs w:val="21"/>
        </w:rPr>
        <w:t>第一册  专用条款</w:t>
      </w:r>
    </w:p>
    <w:p>
      <w:pPr>
        <w:ind w:left="1079" w:leftChars="514"/>
        <w:rPr>
          <w:rFonts w:ascii="宋体" w:hAnsi="宋体"/>
          <w:b/>
          <w:szCs w:val="21"/>
        </w:rPr>
      </w:pPr>
      <w:r>
        <w:rPr>
          <w:rFonts w:ascii="宋体" w:hAnsi="宋体" w:hint="eastAsia"/>
          <w:b/>
          <w:szCs w:val="21"/>
        </w:rPr>
        <w:t>关键信息</w:t>
      </w:r>
    </w:p>
    <w:p>
      <w:pPr>
        <w:ind w:left="630" w:firstLine="412" w:leftChars="300" w:firstLineChars="196"/>
        <w:outlineLvl w:val="0"/>
        <w:rPr>
          <w:rFonts w:ascii="宋体" w:hAnsi="宋体"/>
          <w:szCs w:val="21"/>
        </w:rPr>
      </w:pPr>
      <w:r>
        <w:rPr>
          <w:rFonts w:ascii="宋体" w:hAnsi="宋体" w:hint="eastAsia"/>
          <w:szCs w:val="21"/>
        </w:rPr>
        <w:t>第一章  招标公告</w:t>
      </w:r>
    </w:p>
    <w:p>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pPr>
        <w:ind w:left="630" w:firstLine="412" w:leftChars="300" w:firstLineChars="196"/>
        <w:outlineLvl w:val="0"/>
        <w:rPr>
          <w:rFonts w:ascii="宋体" w:hAnsi="宋体"/>
          <w:szCs w:val="21"/>
        </w:rPr>
      </w:pPr>
      <w:r>
        <w:rPr>
          <w:rFonts w:ascii="宋体" w:hAnsi="宋体" w:hint="eastAsia"/>
          <w:szCs w:val="21"/>
        </w:rPr>
        <w:t>第三章  用户需求书</w:t>
      </w:r>
    </w:p>
    <w:p>
      <w:pPr>
        <w:ind w:left="630" w:firstLine="412" w:leftChars="300" w:firstLineChars="196"/>
        <w:outlineLvl w:val="0"/>
        <w:rPr>
          <w:rFonts w:ascii="宋体" w:hAnsi="宋体"/>
          <w:szCs w:val="21"/>
        </w:rPr>
      </w:pPr>
      <w:r>
        <w:rPr>
          <w:rFonts w:hint="eastAsia"/>
        </w:rPr>
        <w:t>第四章 投标文件格式及附件</w:t>
      </w:r>
    </w:p>
    <w:p>
      <w:pPr>
        <w:ind w:left="630" w:firstLine="412" w:leftChars="300" w:firstLineChars="196"/>
        <w:outlineLvl w:val="0"/>
        <w:rPr>
          <w:rFonts w:ascii="宋体" w:hAnsi="宋体"/>
          <w:szCs w:val="21"/>
        </w:rPr>
      </w:pPr>
      <w:r>
        <w:rPr>
          <w:rFonts w:ascii="宋体" w:hAnsi="宋体" w:hint="eastAsia"/>
          <w:szCs w:val="21"/>
        </w:rPr>
        <w:t>第五章  合同条款及格式</w:t>
      </w:r>
    </w:p>
    <w:p>
      <w:pPr>
        <w:ind w:left="420" w:firstLine="412" w:leftChars="200" w:firstLineChars="196"/>
        <w:outlineLvl w:val="0"/>
        <w:rPr>
          <w:rFonts w:ascii="宋体" w:hAnsi="宋体"/>
          <w:b/>
          <w:szCs w:val="21"/>
        </w:rPr>
      </w:pPr>
      <w:r>
        <w:rPr>
          <w:rFonts w:ascii="宋体" w:hAnsi="宋体" w:hint="eastAsia"/>
          <w:b/>
          <w:szCs w:val="21"/>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pStyle w:val="Heading2"/>
        <w:numPr>
          <w:ilvl w:val="0"/>
          <w:numId w:val="12"/>
        </w:numPr>
        <w:tabs>
          <w:tab w:val="left" w:pos="360"/>
          <w:tab w:val="clear" w:pos="720"/>
        </w:tabs>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52" w:name="_Hlk72400236"/>
      <w:r>
        <w:rPr>
          <w:rFonts w:ascii="黑体" w:eastAsia="黑体" w:hAnsi="宋体" w:hint="eastAsia"/>
          <w:sz w:val="24"/>
        </w:rPr>
        <w:t>投标文件的语言及度量单位</w:t>
      </w:r>
    </w:p>
    <w:p>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52"/>
      <w:r>
        <w:rPr>
          <w:rFonts w:ascii="黑体" w:eastAsia="黑体" w:hAnsi="宋体" w:hint="eastAsia"/>
          <w:sz w:val="24"/>
        </w:rPr>
        <w:t>15．</w:t>
      </w:r>
      <w:bookmarkStart w:id="53" w:name="_Hlk72401567"/>
      <w:r>
        <w:rPr>
          <w:rFonts w:ascii="黑体" w:eastAsia="黑体" w:hAnsi="宋体" w:hint="eastAsia"/>
          <w:sz w:val="24"/>
        </w:rPr>
        <w:t>投标文件的组成</w:t>
      </w:r>
    </w:p>
    <w:p>
      <w:pPr>
        <w:ind w:firstLine="412"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12"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53"/>
      <w:r>
        <w:rPr>
          <w:rFonts w:ascii="黑体" w:eastAsia="黑体" w:hAnsi="宋体" w:hint="eastAsia"/>
          <w:sz w:val="24"/>
        </w:rPr>
        <w:t>18．</w:t>
      </w:r>
      <w:bookmarkStart w:id="54" w:name="_Hlk72401735"/>
      <w:r>
        <w:rPr>
          <w:rFonts w:ascii="黑体" w:eastAsia="黑体" w:hAnsi="宋体" w:hint="eastAsia"/>
          <w:sz w:val="24"/>
        </w:rPr>
        <w:t>证明投标文件投标技术方案的合格性和符合招标文件规定的文件要求</w:t>
      </w:r>
    </w:p>
    <w:p>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szCs w:val="21"/>
        </w:rPr>
      </w:pPr>
      <w:r>
        <w:rPr>
          <w:rFonts w:ascii="宋体" w:hAnsi="宋体" w:hint="eastAsia"/>
          <w:szCs w:val="21"/>
        </w:rPr>
        <w:t>18.2.1主要技术指标和性能的详细说明。</w:t>
      </w:r>
    </w:p>
    <w:p>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54"/>
      <w:r>
        <w:rPr>
          <w:rFonts w:ascii="黑体" w:eastAsia="黑体" w:hAnsi="宋体" w:hint="eastAsia"/>
          <w:sz w:val="24"/>
        </w:rPr>
        <w:t>19．</w:t>
      </w:r>
      <w:bookmarkStart w:id="55"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p>
      <w:pPr>
        <w:ind w:firstLine="412" w:firstLineChars="196"/>
        <w:rPr>
          <w:rFonts w:ascii="宋体" w:hAnsi="宋体"/>
          <w:szCs w:val="21"/>
        </w:rPr>
      </w:pPr>
      <w:bookmarkEnd w:id="56"/>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12" w:firstLineChars="196"/>
        <w:rPr>
          <w:rFonts w:ascii="宋体" w:hAnsi="宋体"/>
          <w:szCs w:val="21"/>
        </w:rPr>
      </w:pPr>
      <w:bookmarkEnd w:id="55"/>
      <w:bookmarkStart w:id="57"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57"/>
      <w:r>
        <w:rPr>
          <w:rFonts w:ascii="黑体" w:eastAsia="黑体" w:hAnsi="宋体" w:hint="eastAsia"/>
          <w:sz w:val="24"/>
        </w:rPr>
        <w:t>21．</w:t>
      </w:r>
      <w:bookmarkStart w:id="58"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58"/>
      <w:r>
        <w:rPr>
          <w:rFonts w:ascii="黑体" w:eastAsia="黑体" w:hAnsi="宋体" w:hint="eastAsia"/>
          <w:sz w:val="24"/>
        </w:rPr>
        <w:t>23．</w:t>
      </w:r>
      <w:bookmarkStart w:id="59"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pPr>
        <w:ind w:firstLine="412" w:firstLineChars="196"/>
        <w:rPr>
          <w:rFonts w:ascii="宋体" w:hAnsi="宋体"/>
        </w:rPr>
      </w:pPr>
      <w:r>
        <w:rPr>
          <w:rFonts w:ascii="宋体" w:hAnsi="宋体" w:hint="eastAsia"/>
        </w:rPr>
        <w:t>23.2投标人在使用《投标文件制作软件》编制投标书时须注意：</w:t>
      </w:r>
    </w:p>
    <w:p>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12" w:firstLineChars="196"/>
        <w:rPr>
          <w:rFonts w:ascii="宋体" w:hAnsi="宋体"/>
        </w:rPr>
      </w:pPr>
      <w:r>
        <w:rPr>
          <w:rFonts w:ascii="宋体" w:hAnsi="宋体" w:hint="eastAsia"/>
        </w:rPr>
        <w:t>23.2.5完整填写“投标关键信息”，如下图所示：</w:t>
      </w:r>
    </w:p>
    <w:p>
      <w:pPr>
        <w:ind w:firstLine="412" w:firstLineChars="196"/>
        <w:rPr>
          <w:rFonts w:ascii="宋体" w:hAnsi="宋体"/>
        </w:rPr>
      </w:pPr>
      <w:r>
        <w:rPr>
          <w:rFonts w:ascii="宋体" w:hAnsi="宋体"/>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hAnsi="宋体"/>
        </w:rPr>
      </w:pPr>
      <w:r>
        <w:rPr>
          <w:rFonts w:ascii="宋体" w:hAnsi="宋体" w:hint="eastAsia"/>
        </w:rPr>
        <w:t>23.3电报、电话、传真形式的投标概不接受。</w:t>
      </w:r>
    </w:p>
    <w:p>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59"/>
    </w:p>
    <w:p>
      <w:pPr>
        <w:pStyle w:val="Heading2"/>
        <w:numPr>
          <w:ilvl w:val="0"/>
          <w:numId w:val="12"/>
        </w:numPr>
        <w:tabs>
          <w:tab w:val="left" w:pos="360"/>
          <w:tab w:val="clear" w:pos="720"/>
        </w:tabs>
        <w:spacing w:before="120" w:beforeLines="50" w:after="120" w:afterLines="50"/>
        <w:ind w:left="562" w:hanging="562"/>
        <w:rPr>
          <w:sz w:val="28"/>
          <w:szCs w:val="28"/>
        </w:rPr>
      </w:pPr>
      <w:r>
        <w:rPr>
          <w:rFonts w:hint="eastAsia"/>
          <w:sz w:val="28"/>
          <w:szCs w:val="28"/>
        </w:rPr>
        <w:t>投标文件的递交</w:t>
      </w:r>
      <w:bookmarkStart w:id="60" w:name="_Hlk72405459"/>
    </w:p>
    <w:p>
      <w:pPr>
        <w:rPr>
          <w:rFonts w:ascii="黑体" w:eastAsia="黑体" w:hAnsi="宋体"/>
          <w:sz w:val="24"/>
        </w:rPr>
      </w:pPr>
      <w:r>
        <w:rPr>
          <w:rFonts w:ascii="黑体" w:eastAsia="黑体" w:hAnsi="宋体" w:hint="eastAsia"/>
          <w:sz w:val="24"/>
        </w:rPr>
        <w:t>24．投标书的保密</w:t>
      </w:r>
    </w:p>
    <w:p>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2" w:firstLineChars="196"/>
        <w:rPr>
          <w:rFonts w:ascii="宋体" w:hAnsi="宋体"/>
        </w:rPr>
      </w:pPr>
      <w:r>
        <w:rPr>
          <w:rFonts w:ascii="宋体" w:hAnsi="宋体"/>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ind w:firstLine="412" w:firstLineChars="196"/>
        <w:rPr>
          <w:rFonts w:ascii="宋体" w:hAnsi="宋体"/>
        </w:rPr>
      </w:pPr>
      <w:r>
        <w:rPr>
          <w:rFonts w:ascii="宋体" w:hAnsi="宋体" w:hint="eastAsia"/>
        </w:rPr>
        <w:t>投标文件制作软件会在投标文件生成过程中，提示用户输入密码，输入密码后对标文件自动进行加密。</w:t>
      </w:r>
    </w:p>
    <w:p>
      <w:pPr>
        <w:ind w:firstLine="420" w:firstLineChars="200"/>
        <w:rPr>
          <w:rFonts w:ascii="宋体" w:hAnsi="宋体"/>
          <w:b/>
        </w:rPr>
      </w:pPr>
      <w:r>
        <w:rPr>
          <w:rFonts w:ascii="宋体" w:hAnsi="宋体" w:hint="eastAsia"/>
          <w:b/>
        </w:rPr>
        <w:t>24.2若采购项目出现延期情况：</w:t>
      </w:r>
    </w:p>
    <w:p>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rPr>
          <w:rFonts w:ascii="黑体" w:eastAsia="黑体" w:hAnsi="宋体"/>
          <w:sz w:val="24"/>
        </w:rPr>
      </w:pPr>
      <w:bookmarkEnd w:id="60"/>
      <w:r>
        <w:rPr>
          <w:rFonts w:ascii="黑体" w:eastAsia="黑体" w:hAnsi="宋体" w:hint="eastAsia"/>
          <w:sz w:val="24"/>
        </w:rPr>
        <w:t>26. 样品、演示、方案讲解</w:t>
      </w:r>
    </w:p>
    <w:p>
      <w:pPr>
        <w:ind w:firstLine="412" w:firstLineChars="196"/>
        <w:rPr>
          <w:rFonts w:ascii="宋体" w:hAnsi="宋体"/>
          <w:szCs w:val="21"/>
        </w:rPr>
      </w:pPr>
      <w:r>
        <w:rPr>
          <w:rFonts w:ascii="宋体" w:hAnsi="宋体" w:hint="eastAsia"/>
          <w:szCs w:val="21"/>
        </w:rPr>
        <w:t>26.1 样品、演示、方案讲解等事项在招标文件专用条款中进行规定。</w:t>
      </w:r>
    </w:p>
    <w:p>
      <w:pPr>
        <w:rPr>
          <w:rFonts w:ascii="黑体" w:eastAsia="黑体" w:hAnsi="宋体"/>
          <w:sz w:val="24"/>
        </w:rPr>
      </w:pPr>
      <w:bookmarkStart w:id="61"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12"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12"/>
        </w:numPr>
        <w:tabs>
          <w:tab w:val="left" w:pos="360"/>
          <w:tab w:val="clear" w:pos="720"/>
        </w:tabs>
        <w:spacing w:before="120" w:beforeLines="50" w:after="120" w:afterLines="50"/>
        <w:ind w:left="562" w:hanging="562"/>
        <w:rPr>
          <w:sz w:val="28"/>
          <w:szCs w:val="28"/>
        </w:rPr>
      </w:pPr>
      <w:bookmarkEnd w:id="61"/>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12"/>
        </w:numPr>
        <w:tabs>
          <w:tab w:val="left" w:pos="360"/>
          <w:tab w:val="clear" w:pos="720"/>
        </w:tabs>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12" w:firstLineChars="196"/>
        <w:rPr>
          <w:rFonts w:ascii="宋体" w:hAnsi="宋体"/>
        </w:rPr>
      </w:pPr>
      <w:bookmarkStart w:id="62"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62"/>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pPr>
        <w:ind w:firstLine="412" w:firstLineChars="196"/>
        <w:rPr>
          <w:rFonts w:ascii="宋体" w:hAnsi="宋体"/>
        </w:rPr>
      </w:pPr>
      <w:r>
        <w:rPr>
          <w:rFonts w:ascii="宋体" w:hAnsi="宋体" w:hint="eastAsia"/>
        </w:rPr>
        <w:t>29.2评审定标应当遵循公平、公正、科学、择优的原则。</w:t>
      </w:r>
    </w:p>
    <w:p>
      <w:pPr>
        <w:ind w:firstLine="412" w:firstLineChars="196"/>
        <w:rPr>
          <w:rFonts w:ascii="宋体" w:hAnsi="宋体"/>
        </w:rPr>
      </w:pPr>
      <w:r>
        <w:rPr>
          <w:rFonts w:ascii="宋体" w:hAnsi="宋体" w:hint="eastAsia"/>
        </w:rPr>
        <w:t>29.3评审活动依法进行，任何单位和个人不得非法干预评标过程和结果。</w:t>
      </w:r>
    </w:p>
    <w:p>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12" w:firstLineChars="196"/>
        <w:rPr>
          <w:rFonts w:ascii="宋体" w:hAnsi="宋体"/>
        </w:rPr>
      </w:pPr>
      <w:r>
        <w:rPr>
          <w:rFonts w:ascii="宋体" w:hAnsi="宋体" w:hint="eastAsia"/>
        </w:rPr>
        <w:t>30.1公开发布的招标文件，包括图纸、服务清单、答疑文件等；</w:t>
      </w:r>
    </w:p>
    <w:p>
      <w:pPr>
        <w:ind w:firstLine="412" w:firstLineChars="196"/>
        <w:rPr>
          <w:rFonts w:ascii="宋体" w:hAnsi="宋体"/>
        </w:rPr>
      </w:pPr>
      <w:r>
        <w:rPr>
          <w:rFonts w:ascii="宋体" w:hAnsi="宋体" w:hint="eastAsia"/>
        </w:rPr>
        <w:t>30.2其他评标必须的资料。</w:t>
      </w:r>
    </w:p>
    <w:p>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12" w:firstLineChars="196"/>
        <w:rPr>
          <w:rFonts w:ascii="宋体" w:hAnsi="宋体"/>
        </w:rPr>
      </w:pPr>
      <w:r>
        <w:rPr>
          <w:rFonts w:ascii="宋体" w:hAnsi="宋体" w:hint="eastAsia"/>
        </w:rPr>
        <w:t>（1）招标的目的；</w:t>
      </w:r>
    </w:p>
    <w:p>
      <w:pPr>
        <w:ind w:firstLine="412" w:firstLineChars="196"/>
        <w:rPr>
          <w:rFonts w:ascii="宋体" w:hAnsi="宋体"/>
        </w:rPr>
      </w:pPr>
      <w:r>
        <w:rPr>
          <w:rFonts w:ascii="宋体" w:hAnsi="宋体" w:hint="eastAsia"/>
        </w:rPr>
        <w:t>（2）招标项目需求的范围和性质；</w:t>
      </w:r>
    </w:p>
    <w:p>
      <w:pPr>
        <w:ind w:firstLine="412" w:firstLineChars="196"/>
        <w:rPr>
          <w:rFonts w:ascii="宋体" w:hAnsi="宋体"/>
        </w:rPr>
      </w:pPr>
      <w:r>
        <w:rPr>
          <w:rFonts w:ascii="宋体" w:hAnsi="宋体" w:hint="eastAsia"/>
        </w:rPr>
        <w:t>（3）招标文件规定的投标人的资格、预算金额、商务条款；</w:t>
      </w:r>
    </w:p>
    <w:p>
      <w:pPr>
        <w:ind w:firstLine="412" w:firstLineChars="196"/>
        <w:rPr>
          <w:rFonts w:ascii="宋体" w:hAnsi="宋体"/>
        </w:rPr>
      </w:pPr>
      <w:r>
        <w:rPr>
          <w:rFonts w:ascii="宋体" w:hAnsi="宋体" w:hint="eastAsia"/>
        </w:rPr>
        <w:t>（4）招标文件规定的评标程序、评标方法和评标因素；</w:t>
      </w:r>
    </w:p>
    <w:p>
      <w:pPr>
        <w:ind w:firstLine="412"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12"/>
        </w:numPr>
        <w:tabs>
          <w:tab w:val="left" w:pos="360"/>
          <w:tab w:val="clear" w:pos="720"/>
        </w:tabs>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12" w:firstLineChars="196"/>
        <w:rPr>
          <w:rFonts w:ascii="宋体" w:hAnsi="宋体"/>
        </w:rPr>
      </w:pPr>
      <w:r>
        <w:rPr>
          <w:rFonts w:ascii="宋体" w:hAnsi="宋体" w:hint="eastAsia"/>
        </w:rPr>
        <w:t>32.1投标文件初审包括资格性审查和符合性审查。</w:t>
      </w:r>
    </w:p>
    <w:p>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12" w:firstLineChars="196"/>
        <w:rPr>
          <w:rFonts w:ascii="宋体" w:hAnsi="宋体"/>
          <w:bCs/>
        </w:rPr>
      </w:pPr>
      <w:r>
        <w:rPr>
          <w:rFonts w:ascii="宋体" w:hAnsi="宋体" w:hint="eastAsia"/>
          <w:bCs/>
        </w:rPr>
        <w:t>32.3 投标文件初审中关于供应商家数的计算:</w:t>
      </w:r>
    </w:p>
    <w:p>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rPr>
      </w:pPr>
      <w:r>
        <w:rPr>
          <w:rFonts w:ascii="宋体" w:hAnsi="宋体" w:hint="eastAsia"/>
        </w:rPr>
        <w:t>32.4投标人投标文件作无效处理的情形，具体包括但不限于以下：</w:t>
      </w:r>
    </w:p>
    <w:p>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12" w:firstLineChars="196"/>
        <w:rPr>
          <w:rFonts w:ascii="宋体" w:hAnsi="宋体"/>
        </w:rPr>
      </w:pPr>
      <w:r>
        <w:rPr>
          <w:rFonts w:ascii="宋体" w:hAnsi="宋体" w:hint="eastAsia"/>
        </w:rPr>
        <w:t>32.4.3不同投标人的投标文件载明的项目管理成员或者联系人员为同一人；</w:t>
      </w:r>
    </w:p>
    <w:p>
      <w:pPr>
        <w:ind w:firstLine="412" w:firstLineChars="196"/>
        <w:rPr>
          <w:rFonts w:ascii="宋体" w:hAnsi="宋体"/>
        </w:rPr>
      </w:pPr>
      <w:r>
        <w:rPr>
          <w:rFonts w:ascii="宋体" w:hAnsi="宋体" w:hint="eastAsia"/>
        </w:rPr>
        <w:t>32.4.4不同投标人的投标文件异常一致或者投标报价呈规律性差异；</w:t>
      </w:r>
    </w:p>
    <w:p>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12" w:firstLineChars="196"/>
        <w:rPr>
          <w:rFonts w:ascii="宋体" w:hAnsi="宋体"/>
        </w:rPr>
      </w:pPr>
      <w:r>
        <w:rPr>
          <w:rFonts w:ascii="宋体" w:hAnsi="宋体" w:hint="eastAsia"/>
        </w:rPr>
        <w:t>32.4.6投标供应商之间相互约定给予未中标的供应商利益补偿；</w:t>
      </w:r>
    </w:p>
    <w:p>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rPr>
      </w:pPr>
      <w:r>
        <w:rPr>
          <w:rFonts w:ascii="宋体" w:hAnsi="宋体" w:hint="eastAsia"/>
        </w:rPr>
        <w:t>32.4.8不同投标供应商的投标文件内容存在非正常一致；</w:t>
      </w:r>
    </w:p>
    <w:p>
      <w:pPr>
        <w:ind w:firstLine="412" w:firstLineChars="196"/>
        <w:rPr>
          <w:rFonts w:ascii="宋体" w:hAnsi="宋体"/>
        </w:rPr>
      </w:pPr>
      <w:r>
        <w:rPr>
          <w:rFonts w:ascii="宋体" w:hAnsi="宋体" w:hint="eastAsia"/>
        </w:rPr>
        <w:t>32.4.9在同一单位工作人员为两家以上（含两家）供应商进行同一项投标活动；</w:t>
      </w:r>
    </w:p>
    <w:p>
      <w:pPr>
        <w:ind w:firstLine="412" w:firstLineChars="196"/>
        <w:rPr>
          <w:rFonts w:ascii="宋体" w:hAnsi="宋体"/>
        </w:rPr>
      </w:pPr>
      <w:r>
        <w:rPr>
          <w:rFonts w:ascii="宋体" w:hAnsi="宋体" w:hint="eastAsia"/>
        </w:rPr>
        <w:t>32.4.10主管部门依照法律、法规认定的其他情形。</w:t>
      </w:r>
    </w:p>
    <w:p>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ind w:firstLine="420" w:firstLineChars="200"/>
        <w:rPr>
          <w:rFonts w:ascii="黑体" w:eastAsia="黑体" w:hAnsi="宋体"/>
          <w:sz w:val="24"/>
        </w:rPr>
      </w:pPr>
      <w:r>
        <w:t>32.6不同投标人的“文件制作时间”“文件制作机器码”“文件创建标识码”“IP”“上传时间”等信息异常一致的，不得作为投标无效的理由。如出现上述异常情况，应报主管部门处理。</w:t>
      </w:r>
      <w:r>
        <w:rPr>
          <w:rFonts w:ascii="黑体" w:eastAsia="黑体" w:hAnsi="宋体" w:hint="eastAsia"/>
          <w:sz w:val="24"/>
        </w:rPr>
        <w:t>33．澄清有关问题</w:t>
      </w:r>
    </w:p>
    <w:p>
      <w:pPr>
        <w:ind w:firstLine="412" w:firstLineChars="196"/>
        <w:rPr>
          <w:rFonts w:ascii="宋体" w:hAnsi="宋体"/>
        </w:rPr>
      </w:pPr>
      <w:bookmarkStart w:id="63"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63"/>
    </w:p>
    <w:p>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64" w:name="_Toc100052400"/>
      <w:bookmarkStart w:id="65" w:name="_Toc73521581"/>
      <w:bookmarkStart w:id="66" w:name="_Toc73517673"/>
      <w:bookmarkStart w:id="67" w:name="_Toc73518151"/>
      <w:bookmarkStart w:id="68" w:name="_Toc73521669"/>
      <w:r>
        <w:rPr>
          <w:rFonts w:ascii="黑体" w:eastAsia="黑体" w:hAnsi="宋体" w:hint="eastAsia"/>
          <w:sz w:val="24"/>
        </w:rPr>
        <w:t>34．错误的修正</w:t>
      </w:r>
      <w:bookmarkEnd w:id="64"/>
      <w:bookmarkEnd w:id="65"/>
      <w:bookmarkEnd w:id="66"/>
      <w:bookmarkEnd w:id="67"/>
      <w:bookmarkEnd w:id="68"/>
    </w:p>
    <w:p>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12" w:firstLineChars="196"/>
        <w:rPr>
          <w:rFonts w:ascii="宋体" w:hAnsi="宋体"/>
          <w:szCs w:val="21"/>
        </w:rPr>
      </w:pPr>
      <w:r>
        <w:rPr>
          <w:rFonts w:ascii="宋体" w:hAnsi="宋体" w:hint="eastAsia"/>
          <w:szCs w:val="21"/>
        </w:rPr>
        <w:t>34.2大写金额和小写金额不一致的，以大写金额为准；</w:t>
      </w:r>
    </w:p>
    <w:p>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12" w:firstLineChars="196"/>
        <w:rPr>
          <w:rFonts w:ascii="宋体" w:hAnsi="宋体"/>
          <w:szCs w:val="21"/>
        </w:rPr>
      </w:pPr>
      <w:r>
        <w:rPr>
          <w:rFonts w:ascii="宋体" w:hAnsi="宋体" w:hint="eastAsia"/>
          <w:szCs w:val="21"/>
        </w:rPr>
        <w:t>34.4总价金额与按单价汇总金额不一致的，以单价金额计算结果为准。</w:t>
      </w:r>
    </w:p>
    <w:p>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12" w:firstLineChars="196"/>
        <w:rPr>
          <w:rFonts w:ascii="宋体" w:hAnsi="宋体"/>
          <w:b/>
          <w:bCs/>
          <w:szCs w:val="21"/>
        </w:rPr>
      </w:pPr>
      <w:r>
        <w:rPr>
          <w:rFonts w:ascii="宋体" w:hAnsi="宋体" w:hint="eastAsia"/>
          <w:b/>
          <w:bCs/>
          <w:szCs w:val="21"/>
        </w:rPr>
        <w:t>37.1.1最低价法</w:t>
      </w:r>
    </w:p>
    <w:p>
      <w:pPr>
        <w:ind w:firstLine="412" w:firstLineChars="196"/>
        <w:rPr>
          <w:rFonts w:ascii="ˎ̥" w:hAnsi="ˎ̥"/>
        </w:rPr>
      </w:pPr>
      <w:bookmarkStart w:id="69"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12" w:firstLineChars="196"/>
        <w:rPr>
          <w:rFonts w:ascii="宋体" w:hAnsi="宋体"/>
          <w:b/>
          <w:bCs/>
          <w:szCs w:val="21"/>
        </w:rPr>
      </w:pPr>
      <w:r>
        <w:rPr>
          <w:rFonts w:ascii="宋体" w:hAnsi="宋体" w:hint="eastAsia"/>
          <w:b/>
          <w:bCs/>
          <w:szCs w:val="21"/>
        </w:rPr>
        <w:t>37.1.2综合评分法</w:t>
      </w:r>
    </w:p>
    <w:p>
      <w:pPr>
        <w:ind w:firstLine="412" w:firstLineChars="196"/>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69"/>
    </w:p>
    <w:p>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12" w:firstLineChars="196"/>
        <w:rPr>
          <w:rFonts w:ascii="宋体" w:hAnsi="宋体"/>
          <w:b/>
          <w:bCs/>
          <w:szCs w:val="21"/>
        </w:rPr>
      </w:pPr>
      <w:r>
        <w:rPr>
          <w:rFonts w:ascii="宋体" w:hAnsi="宋体" w:hint="eastAsia"/>
          <w:b/>
          <w:bCs/>
          <w:szCs w:val="21"/>
        </w:rPr>
        <w:t>37.3重新评审的情形</w:t>
      </w:r>
    </w:p>
    <w:p>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12" w:firstLineChars="196"/>
        <w:rPr>
          <w:rFonts w:ascii="宋体" w:hAnsi="宋体" w:cs="宋体"/>
          <w:kern w:val="0"/>
          <w:szCs w:val="21"/>
        </w:rPr>
      </w:pPr>
      <w:r>
        <w:rPr>
          <w:rFonts w:ascii="宋体" w:hAnsi="宋体" w:cs="宋体" w:hint="eastAsia"/>
          <w:kern w:val="0"/>
          <w:szCs w:val="21"/>
        </w:rPr>
        <w:t>37.3.1分值汇总计算错误的；</w:t>
      </w:r>
    </w:p>
    <w:p>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szCs w:val="21"/>
        </w:rPr>
      </w:pPr>
      <w:r>
        <w:rPr>
          <w:rFonts w:ascii="宋体" w:hAnsi="宋体" w:hint="eastAsia"/>
          <w:b/>
          <w:bCs/>
          <w:szCs w:val="21"/>
        </w:rPr>
        <w:t xml:space="preserve"> 37.4重新组建评审委员会的情形</w:t>
      </w:r>
    </w:p>
    <w:p>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12"/>
        </w:numPr>
        <w:tabs>
          <w:tab w:val="left" w:pos="360"/>
          <w:tab w:val="clear" w:pos="720"/>
        </w:tabs>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12" w:firstLineChars="196"/>
        <w:rPr>
          <w:rFonts w:ascii="宋体" w:hAnsi="宋体"/>
          <w:szCs w:val="21"/>
        </w:rPr>
      </w:pPr>
      <w:bookmarkStart w:id="70" w:name="_Hlk73782795"/>
      <w:r>
        <w:rPr>
          <w:rFonts w:ascii="宋体" w:hAnsi="宋体" w:hint="eastAsia"/>
          <w:szCs w:val="21"/>
        </w:rPr>
        <w:t>38.1非评定分离项目定标方法</w:t>
      </w:r>
    </w:p>
    <w:p>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71"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71"/>
      <w:r>
        <w:rPr>
          <w:rFonts w:ascii="ˎ̥" w:hAnsi="ˎ̥"/>
        </w:rPr>
        <w:t>）。</w:t>
      </w:r>
    </w:p>
    <w:p>
      <w:pPr>
        <w:ind w:firstLine="412" w:firstLineChars="196"/>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12" w:firstLineChars="196"/>
        <w:rPr>
          <w:rFonts w:ascii="宋体" w:hAnsi="宋体"/>
          <w:szCs w:val="21"/>
        </w:rPr>
      </w:pPr>
      <w:r>
        <w:rPr>
          <w:rFonts w:ascii="宋体" w:hAnsi="宋体" w:hint="eastAsia"/>
          <w:szCs w:val="21"/>
        </w:rPr>
        <w:t>38.2评定分离项目定标方法</w:t>
      </w:r>
    </w:p>
    <w:p>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pPr>
      <w:r>
        <w:rPr>
          <w:rFonts w:ascii="宋体" w:hAnsi="宋体"/>
          <w:szCs w:val="21"/>
        </w:rPr>
        <w:t xml:space="preserve">38.2.2 </w:t>
      </w:r>
      <w:bookmarkStart w:id="72"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12" w:firstLineChars="196"/>
        <w:rPr>
          <w:rFonts w:ascii="宋体" w:hAnsi="宋体"/>
          <w:szCs w:val="21"/>
        </w:rPr>
      </w:pPr>
      <w:r>
        <w:rPr>
          <w:rFonts w:ascii="宋体" w:hAnsi="宋体" w:hint="eastAsia"/>
          <w:szCs w:val="21"/>
        </w:rPr>
        <w:t>38.2.3</w:t>
      </w:r>
      <w:bookmarkStart w:id="73"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72"/>
      <w:bookmarkEnd w:id="73"/>
    </w:p>
    <w:p>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12" w:firstLineChars="196"/>
        <w:rPr>
          <w:rFonts w:ascii="宋体" w:hAnsi="宋体"/>
          <w:szCs w:val="21"/>
        </w:rPr>
      </w:pPr>
      <w:r>
        <w:rPr>
          <w:rFonts w:ascii="宋体" w:hAnsi="宋体" w:hint="eastAsia"/>
          <w:szCs w:val="21"/>
        </w:rPr>
        <w:t>说明：采购人及投标供应商应按照上述方法提前做好相关准备。</w:t>
      </w:r>
    </w:p>
    <w:p>
      <w:pPr>
        <w:ind w:firstLine="412" w:firstLineChars="196"/>
        <w:rPr>
          <w:rFonts w:ascii="宋体" w:hAnsi="宋体"/>
          <w:szCs w:val="21"/>
        </w:rPr>
      </w:pPr>
      <w:r>
        <w:rPr>
          <w:rFonts w:ascii="宋体" w:hAnsi="宋体" w:hint="eastAsia"/>
          <w:szCs w:val="21"/>
        </w:rPr>
        <w:t>38.3专用条款另有规定的，按专用条款相关要求定标。</w:t>
      </w:r>
      <w:bookmarkEnd w:id="70"/>
    </w:p>
    <w:p>
      <w:pPr>
        <w:rPr>
          <w:rFonts w:ascii="黑体" w:eastAsia="黑体" w:hAnsi="宋体"/>
          <w:sz w:val="24"/>
        </w:rPr>
      </w:pPr>
      <w:r>
        <w:rPr>
          <w:rFonts w:ascii="黑体" w:eastAsia="黑体" w:hAnsi="宋体" w:hint="eastAsia"/>
          <w:sz w:val="24"/>
        </w:rPr>
        <w:t>39．编写评审报告</w:t>
      </w:r>
    </w:p>
    <w:p>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12" w:firstLineChars="196"/>
        <w:rPr>
          <w:rFonts w:ascii="宋体" w:hAnsi="宋体"/>
          <w:szCs w:val="21"/>
        </w:rPr>
      </w:pPr>
      <w:r>
        <w:rPr>
          <w:rFonts w:ascii="宋体" w:hAnsi="宋体" w:hint="eastAsia"/>
          <w:szCs w:val="21"/>
        </w:rPr>
        <w:t>40.1</w:t>
      </w:r>
      <w:bookmarkStart w:id="74"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End w:id="74"/>
      <w:bookmarkStart w:id="75"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w:t>
      </w:r>
      <w:r>
        <w:rPr>
          <w:rFonts w:ascii="宋体" w:hAnsi="宋体" w:hint="eastAsia"/>
          <w:szCs w:val="21"/>
        </w:rPr>
        <w:t>86500050</w:t>
      </w:r>
      <w:r>
        <w:rPr>
          <w:rFonts w:ascii="宋体" w:hAnsi="宋体"/>
          <w:szCs w:val="21"/>
        </w:rPr>
        <w:t>。</w:t>
      </w:r>
      <w:r>
        <w:rPr>
          <w:rFonts w:ascii="宋体" w:hAnsi="宋体" w:hint="eastAsia"/>
          <w:szCs w:val="21"/>
        </w:rPr>
        <w:t>若在公示期内未提出质疑，则视为认同该评审结果。</w:t>
      </w:r>
    </w:p>
    <w:p>
      <w:pPr>
        <w:ind w:firstLine="412" w:firstLineChars="196"/>
        <w:rPr>
          <w:rFonts w:ascii="宋体" w:hAnsi="宋体"/>
          <w:szCs w:val="21"/>
        </w:rPr>
      </w:pPr>
      <w:bookmarkEnd w:id="75"/>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76"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76"/>
    </w:p>
    <w:p>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12" w:firstLineChars="196"/>
        <w:rPr>
          <w:rFonts w:ascii="宋体" w:hAnsi="宋体"/>
          <w:szCs w:val="21"/>
        </w:rPr>
      </w:pPr>
      <w:bookmarkStart w:id="77"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12"/>
        </w:numPr>
        <w:tabs>
          <w:tab w:val="left" w:pos="360"/>
          <w:tab w:val="clear" w:pos="720"/>
        </w:tabs>
        <w:spacing w:before="120" w:beforeLines="50" w:after="120" w:afterLines="50"/>
        <w:ind w:left="562" w:hanging="562"/>
        <w:rPr>
          <w:sz w:val="28"/>
          <w:szCs w:val="28"/>
        </w:rPr>
      </w:pPr>
      <w:bookmarkEnd w:id="77"/>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szCs w:val="21"/>
        </w:rPr>
      </w:pPr>
      <w:r>
        <w:rPr>
          <w:rFonts w:ascii="宋体" w:hAnsi="宋体" w:hint="eastAsia"/>
          <w:szCs w:val="21"/>
        </w:rPr>
        <w:t>42.3重新组织采购有以下两种组织形式：</w:t>
      </w:r>
    </w:p>
    <w:p>
      <w:pPr>
        <w:ind w:firstLine="412" w:firstLineChars="196"/>
        <w:rPr>
          <w:rFonts w:ascii="宋体" w:hAnsi="宋体"/>
        </w:rPr>
      </w:pPr>
      <w:r>
        <w:rPr>
          <w:rFonts w:ascii="宋体" w:hAnsi="宋体" w:hint="eastAsia"/>
        </w:rPr>
        <w:t>（1）由政府集中采购机构重新组织公开招标；</w:t>
      </w:r>
    </w:p>
    <w:p>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12"/>
        </w:numPr>
        <w:tabs>
          <w:tab w:val="left" w:pos="360"/>
          <w:tab w:val="clear" w:pos="720"/>
        </w:tabs>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pPr>
        <w:rPr>
          <w:rFonts w:ascii="黑体" w:eastAsia="黑体" w:hAnsi="宋体"/>
          <w:sz w:val="24"/>
        </w:rPr>
      </w:pPr>
      <w:bookmarkStart w:id="79" w:name="_Toc73517679"/>
      <w:bookmarkStart w:id="80" w:name="_Toc73518157"/>
      <w:bookmarkStart w:id="81" w:name="_Toc100052408"/>
      <w:bookmarkStart w:id="82" w:name="_Toc73521586"/>
      <w:bookmarkStart w:id="83" w:name="_Toc73521674"/>
      <w:bookmarkStart w:id="84" w:name="_Hlk72439088"/>
      <w:r>
        <w:rPr>
          <w:rFonts w:ascii="黑体" w:eastAsia="黑体" w:hAnsi="宋体" w:hint="eastAsia"/>
          <w:sz w:val="24"/>
        </w:rPr>
        <w:t>43．合同授予标准</w:t>
      </w:r>
      <w:bookmarkEnd w:id="79"/>
      <w:bookmarkEnd w:id="80"/>
      <w:bookmarkEnd w:id="81"/>
      <w:bookmarkEnd w:id="82"/>
      <w:bookmarkEnd w:id="83"/>
    </w:p>
    <w:p>
      <w:pPr>
        <w:ind w:firstLine="412"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85" w:name="_Toc73517680"/>
      <w:bookmarkStart w:id="86" w:name="_Toc100052409"/>
      <w:bookmarkStart w:id="87" w:name="_Toc73521675"/>
      <w:bookmarkStart w:id="88" w:name="_Toc73521587"/>
      <w:bookmarkStart w:id="89" w:name="_Toc73518158"/>
      <w:r>
        <w:rPr>
          <w:rFonts w:ascii="黑体" w:eastAsia="黑体" w:hAnsi="宋体" w:hint="eastAsia"/>
          <w:sz w:val="24"/>
        </w:rPr>
        <w:t>44．</w:t>
      </w:r>
      <w:bookmarkEnd w:id="85"/>
      <w:bookmarkEnd w:id="86"/>
      <w:bookmarkEnd w:id="87"/>
      <w:bookmarkEnd w:id="88"/>
      <w:bookmarkEnd w:id="89"/>
      <w:r>
        <w:rPr>
          <w:rFonts w:ascii="黑体" w:eastAsia="黑体" w:hAnsi="宋体" w:hint="eastAsia"/>
          <w:sz w:val="24"/>
        </w:rPr>
        <w:t>接受和拒绝任何或所有投标的权力</w:t>
      </w:r>
    </w:p>
    <w:p>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90" w:name="_Toc73521677"/>
      <w:bookmarkStart w:id="91" w:name="_Toc73518160"/>
      <w:bookmarkStart w:id="92" w:name="_Toc100052410"/>
      <w:bookmarkStart w:id="93" w:name="_Toc73517682"/>
      <w:bookmarkStart w:id="94" w:name="_Toc73521589"/>
      <w:r>
        <w:rPr>
          <w:rFonts w:ascii="黑体" w:eastAsia="黑体" w:hAnsi="宋体" w:hint="eastAsia"/>
          <w:sz w:val="24"/>
        </w:rPr>
        <w:t>45．合同的签订</w:t>
      </w:r>
      <w:bookmarkEnd w:id="90"/>
      <w:bookmarkEnd w:id="91"/>
      <w:bookmarkEnd w:id="92"/>
      <w:bookmarkEnd w:id="93"/>
      <w:bookmarkEnd w:id="94"/>
    </w:p>
    <w:p>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95" w:name="_Toc73518161"/>
      <w:bookmarkStart w:id="96" w:name="_Toc73521678"/>
      <w:bookmarkStart w:id="97" w:name="_Toc73517683"/>
      <w:bookmarkStart w:id="98" w:name="_Toc73521590"/>
      <w:bookmarkStart w:id="99" w:name="_Toc100052411"/>
      <w:r>
        <w:rPr>
          <w:rFonts w:ascii="黑体" w:eastAsia="黑体" w:hAnsi="宋体" w:hint="eastAsia"/>
          <w:sz w:val="24"/>
        </w:rPr>
        <w:t>46．履约担保</w:t>
      </w:r>
      <w:bookmarkEnd w:id="95"/>
      <w:bookmarkEnd w:id="96"/>
      <w:bookmarkEnd w:id="97"/>
      <w:bookmarkEnd w:id="98"/>
      <w:bookmarkEnd w:id="99"/>
    </w:p>
    <w:p>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10" w:firstLine="412" w:leftChars="100" w:firstLineChars="196"/>
        <w:rPr>
          <w:rFonts w:ascii="宋体" w:hAnsi="宋体"/>
        </w:rPr>
      </w:pPr>
      <w:r>
        <w:rPr>
          <w:rFonts w:ascii="宋体" w:hAnsi="宋体"/>
        </w:rPr>
        <w:t>a.名片、宣传册、广告标语等；</w:t>
      </w:r>
    </w:p>
    <w:p>
      <w:pPr>
        <w:ind w:left="210" w:firstLine="412" w:leftChars="100" w:firstLineChars="196"/>
        <w:rPr>
          <w:rFonts w:ascii="宋体" w:hAnsi="宋体"/>
        </w:rPr>
      </w:pPr>
      <w:r>
        <w:rPr>
          <w:rFonts w:ascii="宋体" w:hAnsi="宋体"/>
        </w:rPr>
        <w:t>b.案例介绍、推广等；</w:t>
      </w:r>
    </w:p>
    <w:p>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szCs w:val="21"/>
        </w:rPr>
      </w:pPr>
      <w:r>
        <w:rPr>
          <w:rFonts w:ascii="宋体" w:hAnsi="宋体" w:hint="eastAsia"/>
          <w:szCs w:val="21"/>
        </w:rPr>
        <w:t>（1）在采购活动中应当回避而未回避的；</w:t>
      </w:r>
    </w:p>
    <w:p>
      <w:pPr>
        <w:ind w:firstLine="412" w:firstLineChars="196"/>
        <w:rPr>
          <w:rFonts w:ascii="宋体" w:hAnsi="宋体"/>
          <w:szCs w:val="21"/>
        </w:rPr>
      </w:pPr>
      <w:r>
        <w:rPr>
          <w:rFonts w:ascii="宋体" w:hAnsi="宋体" w:hint="eastAsia"/>
          <w:szCs w:val="21"/>
        </w:rPr>
        <w:t>（2）未按本条例规定签订、履行采购合同，造成严重后果的；</w:t>
      </w:r>
    </w:p>
    <w:p>
      <w:pPr>
        <w:ind w:firstLine="412" w:firstLineChars="196"/>
        <w:rPr>
          <w:rFonts w:ascii="宋体" w:hAnsi="宋体"/>
          <w:szCs w:val="21"/>
        </w:rPr>
      </w:pPr>
      <w:r>
        <w:rPr>
          <w:rFonts w:ascii="宋体" w:hAnsi="宋体" w:hint="eastAsia"/>
          <w:szCs w:val="21"/>
        </w:rPr>
        <w:t>（3）隐瞒真实情况，提供虚假资料的；</w:t>
      </w:r>
    </w:p>
    <w:p>
      <w:pPr>
        <w:ind w:firstLine="412" w:firstLineChars="196"/>
        <w:rPr>
          <w:rFonts w:ascii="宋体" w:hAnsi="宋体"/>
          <w:szCs w:val="21"/>
        </w:rPr>
      </w:pPr>
      <w:r>
        <w:rPr>
          <w:rFonts w:ascii="宋体" w:hAnsi="宋体" w:hint="eastAsia"/>
          <w:szCs w:val="21"/>
        </w:rPr>
        <w:t>（4）以非法手段排斥其他供应商参与竞争的；</w:t>
      </w:r>
    </w:p>
    <w:p>
      <w:pPr>
        <w:ind w:firstLine="412" w:firstLineChars="196"/>
        <w:rPr>
          <w:rFonts w:ascii="宋体" w:hAnsi="宋体"/>
          <w:szCs w:val="21"/>
        </w:rPr>
      </w:pPr>
      <w:r>
        <w:rPr>
          <w:rFonts w:ascii="宋体" w:hAnsi="宋体" w:hint="eastAsia"/>
          <w:szCs w:val="21"/>
        </w:rPr>
        <w:t>（5）与其他采购参加人串通投标的；</w:t>
      </w:r>
    </w:p>
    <w:p>
      <w:pPr>
        <w:ind w:firstLine="412" w:firstLineChars="196"/>
        <w:rPr>
          <w:rFonts w:ascii="宋体" w:hAnsi="宋体"/>
          <w:szCs w:val="21"/>
        </w:rPr>
      </w:pPr>
      <w:r>
        <w:rPr>
          <w:rFonts w:ascii="宋体" w:hAnsi="宋体" w:hint="eastAsia"/>
          <w:szCs w:val="21"/>
        </w:rPr>
        <w:t>（6）恶意投诉的；</w:t>
      </w:r>
    </w:p>
    <w:p>
      <w:pPr>
        <w:ind w:firstLine="412" w:firstLineChars="196"/>
        <w:rPr>
          <w:rFonts w:ascii="宋体" w:hAnsi="宋体"/>
          <w:szCs w:val="21"/>
        </w:rPr>
      </w:pPr>
      <w:r>
        <w:rPr>
          <w:rFonts w:ascii="宋体" w:hAnsi="宋体" w:hint="eastAsia"/>
          <w:szCs w:val="21"/>
        </w:rPr>
        <w:t>（7）向采购项目相关人行贿或者提供其他不当利益的；</w:t>
      </w:r>
    </w:p>
    <w:p>
      <w:pPr>
        <w:ind w:firstLine="412" w:firstLineChars="196"/>
        <w:rPr>
          <w:rFonts w:ascii="宋体" w:hAnsi="宋体"/>
          <w:szCs w:val="21"/>
        </w:rPr>
      </w:pPr>
      <w:r>
        <w:rPr>
          <w:rFonts w:ascii="宋体" w:hAnsi="宋体" w:hint="eastAsia"/>
          <w:szCs w:val="21"/>
        </w:rPr>
        <w:t>（8）阻碍、抗拒主管部门监督检查的；</w:t>
      </w:r>
    </w:p>
    <w:p>
      <w:pPr>
        <w:ind w:firstLine="412" w:firstLineChars="196"/>
        <w:rPr>
          <w:rFonts w:ascii="宋体" w:hAnsi="宋体"/>
          <w:szCs w:val="21"/>
        </w:rPr>
      </w:pPr>
      <w:r>
        <w:rPr>
          <w:rFonts w:ascii="宋体" w:hAnsi="宋体" w:hint="eastAsia"/>
          <w:szCs w:val="21"/>
        </w:rPr>
        <w:t>（9）其他违反本条例规定的行为。</w:t>
      </w:r>
    </w:p>
    <w:p>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00" w:name="_Hlk72440769"/>
      <w:r>
        <w:rPr>
          <w:rFonts w:ascii="宋体" w:hAnsi="宋体" w:hint="eastAsia"/>
          <w:szCs w:val="21"/>
        </w:rPr>
        <w:t>采购人或政府集中采购机构</w:t>
      </w:r>
      <w:bookmarkEnd w:id="100"/>
      <w:r>
        <w:rPr>
          <w:rFonts w:ascii="宋体" w:hAnsi="宋体" w:hint="eastAsia"/>
          <w:szCs w:val="21"/>
        </w:rPr>
        <w:t>可将有关情况报同级财政部门，由财政部门根据实际情况记入供应商诚信档案，予以通报：</w:t>
      </w:r>
    </w:p>
    <w:p>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12"/>
        </w:numPr>
        <w:tabs>
          <w:tab w:val="left" w:pos="360"/>
          <w:tab w:val="clear" w:pos="720"/>
        </w:tabs>
        <w:spacing w:before="120" w:beforeLines="50" w:after="120" w:afterLines="50"/>
        <w:ind w:left="562" w:hanging="562"/>
        <w:rPr>
          <w:sz w:val="28"/>
          <w:szCs w:val="28"/>
        </w:rPr>
      </w:pPr>
      <w:bookmarkEnd w:id="84"/>
      <w:r>
        <w:rPr>
          <w:rFonts w:hint="eastAsia"/>
          <w:sz w:val="28"/>
          <w:szCs w:val="28"/>
        </w:rPr>
        <w:t>质疑处理</w:t>
      </w:r>
    </w:p>
    <w:p>
      <w:pPr>
        <w:rPr>
          <w:rFonts w:ascii="黑体" w:eastAsia="黑体" w:hAnsi="宋体"/>
          <w:sz w:val="24"/>
        </w:rPr>
      </w:pPr>
      <w:bookmarkStart w:id="101"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02" w:name="_Hlk75374941"/>
      <w:r>
        <w:rPr>
          <w:rFonts w:ascii="宋体" w:hAnsi="宋体" w:hint="eastAsia"/>
          <w:szCs w:val="21"/>
        </w:rPr>
        <w:t>以联合体形式参与的，质疑应当由组成联合体的所有成员共同提出</w:t>
      </w:r>
      <w:bookmarkEnd w:id="102"/>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20" w:firstLineChars="200"/>
        <w:rPr>
          <w:rFonts w:ascii="宋体" w:hAnsi="宋体"/>
          <w:szCs w:val="21"/>
        </w:rPr>
      </w:pPr>
      <w:r>
        <w:rPr>
          <w:rFonts w:ascii="宋体" w:hAnsi="宋体" w:hint="eastAsia"/>
          <w:szCs w:val="21"/>
        </w:rPr>
        <w:t>（2）质疑项目的名称、编号；</w:t>
      </w:r>
    </w:p>
    <w:p>
      <w:pPr>
        <w:ind w:firstLine="420" w:firstLineChars="200"/>
        <w:rPr>
          <w:rFonts w:ascii="宋体" w:hAnsi="宋体"/>
          <w:szCs w:val="21"/>
        </w:rPr>
      </w:pPr>
      <w:r>
        <w:rPr>
          <w:rFonts w:ascii="宋体" w:hAnsi="宋体" w:hint="eastAsia"/>
          <w:szCs w:val="21"/>
        </w:rPr>
        <w:t>（3）具体、明确的质疑对象、质疑事项和质疑请求；</w:t>
      </w:r>
    </w:p>
    <w:p>
      <w:pPr>
        <w:ind w:firstLine="420" w:firstLineChars="200"/>
        <w:rPr>
          <w:rFonts w:ascii="宋体" w:hAnsi="宋体"/>
          <w:szCs w:val="21"/>
        </w:rPr>
      </w:pPr>
      <w:r>
        <w:rPr>
          <w:rFonts w:ascii="宋体" w:hAnsi="宋体" w:hint="eastAsia"/>
          <w:szCs w:val="21"/>
        </w:rPr>
        <w:t>（4）因质疑事项而受损害的权益；</w:t>
      </w:r>
    </w:p>
    <w:p>
      <w:pPr>
        <w:ind w:firstLine="420" w:firstLineChars="200"/>
        <w:rPr>
          <w:rFonts w:ascii="宋体" w:hAnsi="宋体"/>
          <w:szCs w:val="21"/>
        </w:rPr>
      </w:pPr>
      <w:r>
        <w:rPr>
          <w:rFonts w:ascii="宋体" w:hAnsi="宋体" w:hint="eastAsia"/>
          <w:szCs w:val="21"/>
        </w:rPr>
        <w:t>（5）事实依据；</w:t>
      </w:r>
    </w:p>
    <w:p>
      <w:pPr>
        <w:ind w:firstLine="420" w:firstLineChars="200"/>
        <w:rPr>
          <w:rFonts w:ascii="宋体" w:hAnsi="宋体"/>
          <w:szCs w:val="21"/>
        </w:rPr>
      </w:pPr>
      <w:r>
        <w:rPr>
          <w:rFonts w:ascii="宋体" w:hAnsi="宋体" w:hint="eastAsia"/>
          <w:szCs w:val="21"/>
        </w:rPr>
        <w:t>（6）必要的法律依据；</w:t>
      </w:r>
    </w:p>
    <w:p>
      <w:pPr>
        <w:ind w:firstLine="420" w:firstLineChars="200"/>
        <w:rPr>
          <w:rFonts w:ascii="宋体" w:hAnsi="宋体"/>
          <w:szCs w:val="21"/>
        </w:rPr>
      </w:pPr>
      <w:r>
        <w:rPr>
          <w:rFonts w:ascii="宋体" w:hAnsi="宋体" w:hint="eastAsia"/>
          <w:szCs w:val="21"/>
        </w:rPr>
        <w:t>（7）提出质疑的日期。</w:t>
      </w:r>
    </w:p>
    <w:p>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ascii="宋体" w:hAnsi="宋体" w:hint="eastAsia"/>
          <w:szCs w:val="21"/>
        </w:rPr>
        <w:t>52.4提交</w:t>
      </w:r>
      <w:r>
        <w:rPr>
          <w:rFonts w:ascii="宋体" w:hAnsi="宋体"/>
          <w:szCs w:val="21"/>
        </w:rPr>
        <w:t>材料</w:t>
      </w:r>
    </w:p>
    <w:p>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w:t>
      </w:r>
      <w:r>
        <w:rPr>
          <w:rFonts w:ascii="宋体" w:hAnsi="宋体" w:hint="eastAsia"/>
          <w:b/>
        </w:rPr>
        <w:t>86500050</w:t>
      </w:r>
      <w:r>
        <w:rPr>
          <w:rFonts w:ascii="宋体" w:hAnsi="宋体" w:hint="eastAsia"/>
          <w:b/>
          <w:bCs/>
          <w:szCs w:val="21"/>
        </w:rPr>
        <w:t>。</w:t>
      </w:r>
    </w:p>
    <w:p>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ascii="宋体" w:hAnsi="宋体" w:hint="eastAsia"/>
          <w:szCs w:val="21"/>
        </w:rPr>
        <w:t>供应商提交的质疑存在下列情形之一的，不予受理：</w:t>
      </w:r>
    </w:p>
    <w:p>
      <w:pPr>
        <w:ind w:firstLine="420" w:firstLineChars="200"/>
        <w:rPr>
          <w:rFonts w:ascii="宋体" w:hAnsi="宋体"/>
          <w:szCs w:val="21"/>
        </w:rPr>
      </w:pPr>
      <w:r>
        <w:rPr>
          <w:rFonts w:ascii="宋体" w:hAnsi="宋体" w:hint="eastAsia"/>
          <w:szCs w:val="21"/>
        </w:rPr>
        <w:t>（1）质疑主体不满足要求的；</w:t>
      </w:r>
    </w:p>
    <w:p>
      <w:pPr>
        <w:ind w:firstLine="420" w:firstLineChars="200"/>
        <w:rPr>
          <w:rFonts w:ascii="宋体" w:hAnsi="宋体"/>
          <w:szCs w:val="21"/>
        </w:rPr>
      </w:pPr>
      <w:r>
        <w:rPr>
          <w:rFonts w:ascii="宋体" w:hAnsi="宋体" w:hint="eastAsia"/>
          <w:szCs w:val="21"/>
        </w:rPr>
        <w:t>（2）供应商自身权益未受到损害的；</w:t>
      </w:r>
    </w:p>
    <w:p>
      <w:pPr>
        <w:ind w:firstLine="420" w:firstLineChars="200"/>
        <w:rPr>
          <w:rFonts w:ascii="宋体" w:hAnsi="宋体"/>
          <w:szCs w:val="21"/>
        </w:rPr>
      </w:pPr>
      <w:r>
        <w:rPr>
          <w:rFonts w:ascii="宋体" w:hAnsi="宋体" w:hint="eastAsia"/>
          <w:szCs w:val="21"/>
        </w:rPr>
        <w:t>（3）供应商未在法定质疑期限内提出质疑的；</w:t>
      </w:r>
    </w:p>
    <w:p>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ascii="宋体" w:hAnsi="宋体" w:hint="eastAsia"/>
          <w:szCs w:val="21"/>
        </w:rPr>
        <w:t>（5）其他不符合受理条件情形的。</w:t>
      </w:r>
    </w:p>
    <w:p>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101"/>
    </w:p>
    <w:p>
      <w:pPr>
        <w:rPr>
          <w:rFonts w:ascii="宋体" w:hAnsi="宋体"/>
          <w:szCs w:val="21"/>
        </w:rPr>
      </w:pPr>
    </w:p>
    <w:sectPr>
      <w:footerReference w:type="even" r:id="rId8"/>
      <w:footerReference w:type="default" r:id="rId9"/>
      <w:headerReference w:type="first" r:id="rId10"/>
      <w:pgSz w:w="11907" w:h="16840"/>
      <w:pgMar w:top="1440" w:right="1797" w:bottom="1440" w:left="1797" w:header="851" w:footer="992" w:gutter="0"/>
      <w:cols w:num="1" w:space="425"/>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45</w:t>
    </w:r>
    <w:r>
      <w:fldChar w:fldCharType="end"/>
    </w:r>
    <w:r>
      <w:t xml:space="preserve"> -</w:t>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48619C3"/>
    <w:multiLevelType w:val="singleLevel"/>
    <w:tmpl w:val="948619C3"/>
    <w:lvl w:ilvl="0">
      <w:start w:val="1"/>
      <w:numFmt w:val="chineseCounting"/>
      <w:suff w:val="nothing"/>
      <w:lvlText w:val="（%1）"/>
      <w:lvlJc w:val="left"/>
      <w:rPr>
        <w:rFonts w:hint="eastAsia"/>
      </w:rPr>
    </w:lvl>
  </w:abstractNum>
  <w:abstractNum w:abstractNumId="1">
    <w:nsid w:val="D3CCDAF1"/>
    <w:multiLevelType w:val="singleLevel"/>
    <w:tmpl w:val="D3CCDAF1"/>
    <w:lvl w:ilvl="0">
      <w:start w:val="12"/>
      <w:numFmt w:val="chineseCounting"/>
      <w:suff w:val="nothing"/>
      <w:lvlText w:val="%1、"/>
      <w:lvlJc w:val="left"/>
      <w:rPr>
        <w:rFonts w:hint="eastAsia"/>
      </w:rPr>
    </w:lvl>
  </w:abstractNum>
  <w:abstractNum w:abstractNumId="2">
    <w:nsid w:val="ED2CF6CE"/>
    <w:multiLevelType w:val="singleLevel"/>
    <w:tmpl w:val="ED2CF6CE"/>
    <w:lvl w:ilvl="0">
      <w:start w:val="8"/>
      <w:numFmt w:val="decimal"/>
      <w:suff w:val="nothing"/>
      <w:lvlText w:val="%1、"/>
      <w:lvlJc w:val="left"/>
    </w:lvl>
  </w:abstractNum>
  <w:abstractNum w:abstractNumId="3">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4">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5">
    <w:nsid w:val="0000000F"/>
    <w:multiLevelType w:val="multilevel"/>
    <w:tmpl w:val="0000000F"/>
    <w:lvl w:ilvl="0">
      <w:start w:val="2"/>
      <w:numFmt w:val="decimal"/>
      <w:lvlText w:val="%1、"/>
      <w:lvlJc w:val="left"/>
      <w:pPr>
        <w:tabs>
          <w:tab w:val="left" w:pos="360"/>
        </w:tabs>
        <w:ind w:left="360" w:hanging="36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7"/>
  </w:num>
  <w:num w:numId="5">
    <w:abstractNumId w:val="11"/>
  </w:num>
  <w:num w:numId="6">
    <w:abstractNumId w:val="10"/>
  </w:num>
  <w:num w:numId="7">
    <w:abstractNumId w:val="0"/>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4"/>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yMTY5YmNhMTdmMTgxMWFjM2UyN2UwOTU2YzQ4O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qFormat="1"/>
    <w:lsdException w:name="HTML Address" w:uiPriority="0"/>
    <w:lsdException w:name="HTML Cite" w:uiPriority="0" w:qFormat="1"/>
    <w:lsdException w:name="HTML Code" w:uiPriority="0" w:qFormat="1"/>
    <w:lsdException w:name="HTML Definition" w:uiPriority="0" w:qFormat="1"/>
    <w:lsdException w:name="HTML Keyboard" w:uiPriority="0" w:qFormat="1"/>
    <w:lsdException w:name="HTML Preformatted" w:semiHidden="0" w:uiPriority="0" w:unhideWhenUsed="0" w:qFormat="1"/>
    <w:lsdException w:name="HTML Sample" w:uiPriority="0" w:qFormat="1"/>
    <w:lsdException w:name="HTML Typewriter" w:uiPriority="0" w:qFormat="1"/>
    <w:lsdException w:name="HTML Variable" w:uiPriority="0" w:qFormat="1"/>
    <w:lsdException w:name="Normal Table" w:qFormat="1"/>
    <w:lsdException w:name="annotation subject"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3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
    <w:name w:val="Body Text"/>
    <w:basedOn w:val="Normal"/>
    <w:next w:val="BodyText2"/>
    <w:link w:val="a9"/>
    <w:qFormat/>
    <w:pPr>
      <w:spacing w:line="360" w:lineRule="auto"/>
    </w:pPr>
    <w:rPr>
      <w:b/>
      <w:bCs/>
      <w:sz w:val="24"/>
    </w:rPr>
  </w:style>
  <w:style w:type="paragraph" w:styleId="BodyText2">
    <w:name w:val="Body Text 2"/>
    <w:basedOn w:val="Normal"/>
    <w:link w:val="21"/>
    <w:qFormat/>
    <w:pPr>
      <w:spacing w:line="360" w:lineRule="auto"/>
    </w:pPr>
    <w:rPr>
      <w:sz w:val="24"/>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uiPriority w:val="99"/>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link w:val="a31"/>
    <w:uiPriority w:val="99"/>
    <w:qFormat/>
    <w:rPr>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b/>
      <w:bCs/>
    </w:rPr>
  </w:style>
  <w:style w:type="character" w:styleId="HTMLDefinition">
    <w:name w:val="HTML Definition"/>
    <w:basedOn w:val="DefaultParagraphFont"/>
    <w:semiHidden/>
    <w:unhideWhenUsed/>
    <w:qFormat/>
  </w:style>
  <w:style w:type="character" w:styleId="HTMLTypewriter">
    <w:name w:val="HTML Typewriter"/>
    <w:basedOn w:val="DefaultParagraphFont"/>
    <w:semiHidden/>
    <w:unhideWhenUsed/>
    <w:qFormat/>
    <w:rPr>
      <w:rFonts w:ascii="monospace" w:eastAsia="monospace" w:hAnsi="monospace" w:cs="monospace" w:hint="default"/>
      <w:sz w:val="20"/>
    </w:rPr>
  </w:style>
  <w:style w:type="character" w:styleId="HTMLAcronym">
    <w:name w:val="HTML Acronym"/>
    <w:basedOn w:val="DefaultParagraphFont"/>
    <w:semiHidden/>
    <w:unhideWhenUsed/>
    <w:qFormat/>
    <w:rPr>
      <w:bdr w:val="single" w:sz="2" w:space="0" w:color="D6D6D6"/>
      <w:shd w:val="clear" w:color="auto" w:fill="FFFFFF"/>
    </w:rPr>
  </w:style>
  <w:style w:type="character" w:styleId="HTMLVariable">
    <w:name w:val="HTML Variable"/>
    <w:basedOn w:val="DefaultParagraphFont"/>
    <w:semiHidden/>
    <w:unhideWhenUsed/>
    <w:qFormat/>
  </w:style>
  <w:style w:type="character" w:styleId="Hyperlink">
    <w:name w:val="Hyperlink"/>
    <w:qFormat/>
    <w:rPr>
      <w:color w:val="0000FF"/>
      <w:u w:val="single"/>
    </w:rPr>
  </w:style>
  <w:style w:type="character" w:styleId="HTMLCode">
    <w:name w:val="HTML Code"/>
    <w:basedOn w:val="DefaultParagraphFont"/>
    <w:semiHidden/>
    <w:unhideWhenUsed/>
    <w:qFormat/>
    <w:rPr>
      <w:rFonts w:ascii="monospace" w:eastAsia="monospace" w:hAnsi="monospace" w:cs="monospace" w:hint="default"/>
      <w:sz w:val="20"/>
    </w:rPr>
  </w:style>
  <w:style w:type="character" w:styleId="CommentReference">
    <w:name w:val="annotation reference"/>
    <w:basedOn w:val="DefaultParagraphFont"/>
    <w:uiPriority w:val="99"/>
    <w:qFormat/>
    <w:rPr>
      <w:sz w:val="21"/>
      <w:szCs w:val="21"/>
    </w:rPr>
  </w:style>
  <w:style w:type="character" w:styleId="HTMLCite">
    <w:name w:val="HTML Cite"/>
    <w:basedOn w:val="DefaultParagraphFont"/>
    <w:semiHidden/>
    <w:unhideWhenUsed/>
    <w:qFormat/>
  </w:style>
  <w:style w:type="character" w:styleId="HTMLKeyboard">
    <w:name w:val="HTML Keyboard"/>
    <w:basedOn w:val="DefaultParagraphFont"/>
    <w:semiHidden/>
    <w:unhideWhenUsed/>
    <w:qFormat/>
    <w:rPr>
      <w:rFonts w:ascii="monospace" w:eastAsia="monospace" w:hAnsi="monospace" w:cs="monospace" w:hint="default"/>
      <w:sz w:val="20"/>
    </w:rPr>
  </w:style>
  <w:style w:type="character" w:styleId="HTMLSample">
    <w:name w:val="HTML Sample"/>
    <w:basedOn w:val="DefaultParagraphFont"/>
    <w:semiHidden/>
    <w:unhideWhenUsed/>
    <w:qFormat/>
    <w:rPr>
      <w:rFonts w:ascii="monospace" w:eastAsia="monospace" w:hAnsi="monospace" w:cs="monospace"/>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uiPriority w:val="99"/>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uiPriority w:val="99"/>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文本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2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uiPriority w:val="99"/>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31">
    <w:name w:val="普通(网站) 字符"/>
    <w:link w:val="NormalWe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DefaultParagraphFont"/>
    <w:qFormat/>
    <w:rPr>
      <w:bdr w:val="single" w:sz="4" w:space="0" w:color="EEEEEE"/>
      <w:shd w:val="clear" w:color="auto" w:fill="FFFFFF"/>
    </w:rPr>
  </w:style>
  <w:style w:type="character" w:customStyle="1" w:styleId="first-child">
    <w:name w:val="first-child"/>
    <w:basedOn w:val="DefaultParagraphFont"/>
    <w:qFormat/>
  </w:style>
  <w:style w:type="paragraph" w:customStyle="1" w:styleId="23">
    <w:name w:val="修订2"/>
    <w:hidden/>
    <w:uiPriority w:val="99"/>
    <w:semiHidden/>
    <w:qFormat/>
    <w:rPr>
      <w:rFonts w:ascii="Times New Roman" w:eastAsia="宋体" w:hAnsi="Times New Roman" w:cs="Times New Roman"/>
      <w:kern w:val="2"/>
      <w:sz w:val="21"/>
      <w:szCs w:val="24"/>
      <w:lang w:val="en-US" w:eastAsia="zh-CN" w:bidi="ar-SA"/>
    </w:rPr>
  </w:style>
  <w:style w:type="character" w:customStyle="1" w:styleId="hover">
    <w:name w:val="hover"/>
    <w:basedOn w:val="DefaultParagraphFont"/>
    <w:qFormat/>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rPr>
      <w:color w:val="2590EB"/>
      <w:shd w:val="clear" w:color="auto" w:fill="E9F4FD"/>
    </w:rPr>
  </w:style>
  <w:style w:type="character" w:customStyle="1" w:styleId="hover4">
    <w:name w:val="hover4"/>
    <w:basedOn w:val="DefaultParagraphFont"/>
    <w:qFormat/>
    <w:rPr>
      <w:color w:val="2590EB"/>
    </w:rPr>
  </w:style>
  <w:style w:type="character" w:customStyle="1" w:styleId="mini-outputtext1">
    <w:name w:val="mini-outputtext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CDAF-F519-4F49-899A-2A260E1F7A5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45068</Words>
  <Characters>47556</Characters>
  <Application>Microsoft Office Word</Application>
  <DocSecurity>0</DocSecurity>
  <Lines>360</Lines>
  <Paragraphs>101</Paragraphs>
  <ScaleCrop>false</ScaleCrop>
  <Company>Microsoft</Company>
  <LinksUpToDate>false</LinksUpToDate>
  <CharactersWithSpaces>48839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罗忠琴</cp:lastModifiedBy>
  <cp:revision>2</cp:revision>
  <cp:lastPrinted>2021-05-09T08:02:00Z</cp:lastPrinted>
  <dcterms:created xsi:type="dcterms:W3CDTF">2023-03-20T07:24:00Z</dcterms:created>
  <dcterms:modified xsi:type="dcterms:W3CDTF">2023-03-22T01:58:45Z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85D94BDF94FE450283F4FD6C7470A203</vt:lpwstr>
  </property>
  <property fmtid="{D5CDD505-2E9C-101B-9397-08002B2CF9AE}" pid="3" name="KSOProductBuildVer">
    <vt:lpwstr>2052-11.1.0.13703</vt:lpwstr>
  </property>
</Properties>
</file>