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9.0.0 -->
  <w:body>
    <w:p>
      <w:pPr>
        <w:jc w:val="right"/>
        <w:rPr>
          <w:rFonts w:asciiTheme="majorEastAsia" w:eastAsiaTheme="majorEastAsia" w:hAnsiTheme="majorEastAsia" w:cstheme="majorEastAsia"/>
          <w:b/>
          <w:color w:val="auto"/>
          <w:sz w:val="32"/>
          <w:szCs w:val="32"/>
          <w:highlight w:val="none"/>
        </w:rPr>
      </w:pPr>
      <w:r>
        <w:rPr>
          <w:rFonts w:asciiTheme="majorEastAsia" w:eastAsiaTheme="majorEastAsia" w:hAnsiTheme="majorEastAsia" w:cstheme="majorEastAsia" w:hint="eastAsia"/>
          <w:b/>
          <w:color w:val="auto"/>
          <w:sz w:val="32"/>
          <w:szCs w:val="32"/>
          <w:highlight w:val="none"/>
        </w:rPr>
        <w:t>中国·深圳</w:t>
      </w:r>
    </w:p>
    <w:p>
      <w:pPr>
        <w:spacing w:line="1000" w:lineRule="exact"/>
        <w:rPr>
          <w:rFonts w:asciiTheme="majorEastAsia" w:eastAsiaTheme="majorEastAsia" w:hAnsiTheme="majorEastAsia" w:cstheme="majorEastAsia"/>
          <w:b/>
          <w:color w:val="auto"/>
          <w:sz w:val="52"/>
          <w:szCs w:val="52"/>
          <w:highlight w:val="none"/>
        </w:rPr>
      </w:pPr>
    </w:p>
    <w:p>
      <w:pPr>
        <w:spacing w:line="1000" w:lineRule="exact"/>
        <w:jc w:val="center"/>
        <w:outlineLvl w:val="0"/>
        <w:rPr>
          <w:rFonts w:ascii="微软雅黑" w:eastAsia="微软雅黑" w:hAnsi="微软雅黑" w:cs="微软雅黑"/>
          <w:b/>
          <w:color w:val="auto"/>
          <w:sz w:val="80"/>
          <w:szCs w:val="80"/>
          <w:highlight w:val="none"/>
        </w:rPr>
      </w:pPr>
      <w:r>
        <w:rPr>
          <w:rFonts w:ascii="微软雅黑" w:eastAsia="微软雅黑" w:hAnsi="微软雅黑" w:cs="微软雅黑" w:hint="eastAsia"/>
          <w:b/>
          <w:color w:val="auto"/>
          <w:sz w:val="80"/>
          <w:szCs w:val="80"/>
          <w:highlight w:val="none"/>
        </w:rPr>
        <w:t>国内公开招标文件</w:t>
      </w:r>
    </w:p>
    <w:p>
      <w:pPr>
        <w:spacing w:line="1000" w:lineRule="exact"/>
        <w:jc w:val="center"/>
        <w:rPr>
          <w:rFonts w:ascii="楷体" w:eastAsia="楷体" w:hAnsi="楷体" w:cs="楷体"/>
          <w:b/>
          <w:color w:val="auto"/>
          <w:sz w:val="52"/>
          <w:szCs w:val="52"/>
          <w:highlight w:val="none"/>
        </w:rPr>
      </w:pPr>
      <w:r>
        <w:rPr>
          <w:rFonts w:ascii="楷体" w:eastAsia="楷体" w:hAnsi="楷体" w:cs="楷体" w:hint="eastAsia"/>
          <w:b/>
          <w:color w:val="auto"/>
          <w:sz w:val="52"/>
          <w:szCs w:val="52"/>
          <w:highlight w:val="none"/>
        </w:rPr>
        <w:t>（政府采购-服务类）</w:t>
      </w:r>
    </w:p>
    <w:p>
      <w:pPr>
        <w:spacing w:line="1000" w:lineRule="exact"/>
        <w:jc w:val="center"/>
        <w:rPr>
          <w:rFonts w:asciiTheme="majorEastAsia" w:eastAsiaTheme="majorEastAsia" w:hAnsiTheme="majorEastAsia" w:cstheme="majorEastAsia"/>
          <w:b/>
          <w:color w:val="auto"/>
          <w:sz w:val="52"/>
          <w:szCs w:val="52"/>
          <w:highlight w:val="none"/>
        </w:rPr>
      </w:pPr>
    </w:p>
    <w:p>
      <w:pPr>
        <w:spacing w:line="1000" w:lineRule="exact"/>
        <w:jc w:val="center"/>
        <w:rPr>
          <w:rFonts w:asciiTheme="majorEastAsia" w:eastAsiaTheme="majorEastAsia" w:hAnsiTheme="majorEastAsia" w:cstheme="majorEastAsia"/>
          <w:b/>
          <w:color w:val="auto"/>
          <w:sz w:val="52"/>
          <w:szCs w:val="52"/>
          <w:highlight w:val="none"/>
        </w:rPr>
      </w:pPr>
    </w:p>
    <w:tbl>
      <w:tblPr>
        <w:tblStyle w:val="TableNormal"/>
        <w:tblW w:w="6810" w:type="dxa"/>
        <w:jc w:val="center"/>
        <w:tblLayout w:type="fixed"/>
        <w:tblCellMar>
          <w:top w:w="0" w:type="dxa"/>
          <w:left w:w="108" w:type="dxa"/>
          <w:bottom w:w="0" w:type="dxa"/>
          <w:right w:w="108" w:type="dxa"/>
        </w:tblCellMar>
      </w:tblPr>
      <w:tblGrid>
        <w:gridCol w:w="1707"/>
        <w:gridCol w:w="5103"/>
      </w:tblGrid>
      <w:tr>
        <w:tblPrEx>
          <w:tblW w:w="6810" w:type="dxa"/>
          <w:jc w:val="center"/>
          <w:tblLayout w:type="fixed"/>
          <w:tblCellMar>
            <w:top w:w="0" w:type="dxa"/>
            <w:left w:w="108" w:type="dxa"/>
            <w:bottom w:w="0" w:type="dxa"/>
            <w:right w:w="108" w:type="dxa"/>
          </w:tblCellMar>
        </w:tblPrEx>
        <w:trPr>
          <w:trHeight w:val="850"/>
          <w:jc w:val="center"/>
        </w:trPr>
        <w:tc>
          <w:tcPr>
            <w:tcW w:w="1707" w:type="dxa"/>
          </w:tcPr>
          <w:p>
            <w:pPr>
              <w:spacing w:line="0" w:lineRule="atLeast"/>
              <w:rPr>
                <w:rFonts w:ascii="宋体" w:hAnsi="宋体"/>
                <w:b/>
                <w:color w:val="auto"/>
                <w:sz w:val="32"/>
                <w:szCs w:val="32"/>
                <w:highlight w:val="none"/>
              </w:rPr>
            </w:pPr>
            <w:r>
              <w:rPr>
                <w:rFonts w:ascii="宋体" w:hAnsi="宋体" w:hint="eastAsia"/>
                <w:b/>
                <w:color w:val="auto"/>
                <w:sz w:val="32"/>
                <w:szCs w:val="32"/>
                <w:highlight w:val="none"/>
              </w:rPr>
              <w:t>项目名称：</w:t>
            </w:r>
          </w:p>
        </w:tc>
        <w:tc>
          <w:tcPr>
            <w:tcW w:w="5103" w:type="dxa"/>
          </w:tcPr>
          <w:p>
            <w:pPr>
              <w:spacing w:line="0" w:lineRule="atLeast"/>
              <w:rPr>
                <w:rFonts w:ascii="宋体" w:eastAsia="宋体" w:hAnsi="宋体" w:hint="eastAsia"/>
                <w:bCs/>
                <w:color w:val="auto"/>
                <w:sz w:val="32"/>
                <w:szCs w:val="32"/>
                <w:highlight w:val="none"/>
                <w:lang w:eastAsia="zh-CN"/>
              </w:rPr>
            </w:pPr>
            <w:r>
              <w:rPr>
                <w:rFonts w:ascii="宋体" w:hAnsi="宋体" w:hint="eastAsia"/>
                <w:bCs/>
                <w:color w:val="auto"/>
                <w:sz w:val="32"/>
                <w:szCs w:val="32"/>
                <w:highlight w:val="none"/>
                <w:lang w:eastAsia="zh-CN"/>
              </w:rPr>
              <w:t>市残联新媒体宣传</w:t>
            </w:r>
          </w:p>
        </w:tc>
      </w:tr>
      <w:tr>
        <w:tblPrEx>
          <w:tblW w:w="6810" w:type="dxa"/>
          <w:jc w:val="center"/>
          <w:tblLayout w:type="fixed"/>
          <w:tblCellMar>
            <w:top w:w="0" w:type="dxa"/>
            <w:left w:w="108" w:type="dxa"/>
            <w:bottom w:w="0" w:type="dxa"/>
            <w:right w:w="108" w:type="dxa"/>
          </w:tblCellMar>
        </w:tblPrEx>
        <w:trPr>
          <w:trHeight w:val="850"/>
          <w:jc w:val="center"/>
        </w:trPr>
        <w:tc>
          <w:tcPr>
            <w:tcW w:w="1707" w:type="dxa"/>
          </w:tcPr>
          <w:p>
            <w:pPr>
              <w:spacing w:line="0" w:lineRule="atLeast"/>
              <w:rPr>
                <w:rFonts w:ascii="宋体" w:hAnsi="宋体"/>
                <w:b/>
                <w:color w:val="auto"/>
                <w:sz w:val="32"/>
                <w:szCs w:val="32"/>
                <w:highlight w:val="none"/>
              </w:rPr>
            </w:pPr>
            <w:r>
              <w:rPr>
                <w:rFonts w:ascii="宋体" w:hAnsi="宋体" w:hint="eastAsia"/>
                <w:b/>
                <w:color w:val="auto"/>
                <w:sz w:val="32"/>
                <w:szCs w:val="32"/>
                <w:highlight w:val="none"/>
              </w:rPr>
              <w:t>项目编号：</w:t>
            </w:r>
          </w:p>
        </w:tc>
        <w:tc>
          <w:tcPr>
            <w:tcW w:w="5103" w:type="dxa"/>
          </w:tcPr>
          <w:p>
            <w:pPr>
              <w:spacing w:line="0" w:lineRule="atLeast"/>
              <w:rPr>
                <w:rFonts w:ascii="宋体" w:hAnsi="宋体"/>
                <w:color w:val="auto"/>
                <w:sz w:val="32"/>
                <w:szCs w:val="32"/>
                <w:highlight w:val="none"/>
              </w:rPr>
            </w:pPr>
            <w:r>
              <w:rPr>
                <w:rFonts w:ascii="宋体" w:hAnsi="宋体" w:hint="eastAsia"/>
                <w:bCs/>
                <w:color w:val="auto"/>
                <w:sz w:val="32"/>
                <w:szCs w:val="32"/>
                <w:highlight w:val="none"/>
              </w:rPr>
              <w:t>SZDL2022002579</w:t>
            </w:r>
          </w:p>
        </w:tc>
      </w:tr>
      <w:tr>
        <w:tblPrEx>
          <w:tblW w:w="6810" w:type="dxa"/>
          <w:jc w:val="center"/>
          <w:tblLayout w:type="fixed"/>
          <w:tblCellMar>
            <w:top w:w="0" w:type="dxa"/>
            <w:left w:w="108" w:type="dxa"/>
            <w:bottom w:w="0" w:type="dxa"/>
            <w:right w:w="108" w:type="dxa"/>
          </w:tblCellMar>
        </w:tblPrEx>
        <w:trPr>
          <w:trHeight w:val="850"/>
          <w:jc w:val="center"/>
        </w:trPr>
        <w:tc>
          <w:tcPr>
            <w:tcW w:w="1707" w:type="dxa"/>
          </w:tcPr>
          <w:p>
            <w:pPr>
              <w:spacing w:line="0" w:lineRule="atLeast"/>
              <w:rPr>
                <w:rFonts w:ascii="宋体" w:hAnsi="宋体"/>
                <w:b/>
                <w:color w:val="auto"/>
                <w:sz w:val="32"/>
                <w:szCs w:val="32"/>
                <w:highlight w:val="none"/>
              </w:rPr>
            </w:pPr>
            <w:r>
              <w:rPr>
                <w:rFonts w:ascii="宋体" w:hAnsi="宋体" w:hint="eastAsia"/>
                <w:b/>
                <w:color w:val="auto"/>
                <w:sz w:val="32"/>
                <w:szCs w:val="32"/>
                <w:highlight w:val="none"/>
              </w:rPr>
              <w:t>采购单位：</w:t>
            </w:r>
          </w:p>
        </w:tc>
        <w:tc>
          <w:tcPr>
            <w:tcW w:w="5103" w:type="dxa"/>
          </w:tcPr>
          <w:p>
            <w:pPr>
              <w:spacing w:line="0" w:lineRule="atLeast"/>
              <w:rPr>
                <w:rFonts w:ascii="宋体" w:eastAsia="宋体" w:hAnsi="宋体" w:hint="eastAsia"/>
                <w:color w:val="auto"/>
                <w:sz w:val="32"/>
                <w:szCs w:val="32"/>
                <w:highlight w:val="none"/>
                <w:lang w:eastAsia="zh-CN"/>
              </w:rPr>
            </w:pPr>
            <w:r>
              <w:rPr>
                <w:rFonts w:ascii="宋体" w:hAnsi="宋体" w:hint="eastAsia"/>
                <w:bCs/>
                <w:color w:val="auto"/>
                <w:sz w:val="32"/>
                <w:szCs w:val="32"/>
                <w:highlight w:val="none"/>
                <w:lang w:val="en-US" w:eastAsia="zh-CN"/>
              </w:rPr>
              <w:t>深圳市残疾人联合会</w:t>
            </w:r>
          </w:p>
        </w:tc>
      </w:tr>
    </w:tbl>
    <w:p>
      <w:pPr>
        <w:spacing w:line="1000" w:lineRule="exact"/>
        <w:jc w:val="center"/>
        <w:rPr>
          <w:rFonts w:asciiTheme="majorEastAsia" w:eastAsiaTheme="majorEastAsia" w:hAnsiTheme="majorEastAsia" w:cstheme="majorEastAsia"/>
          <w:b/>
          <w:color w:val="auto"/>
          <w:sz w:val="52"/>
          <w:szCs w:val="52"/>
          <w:highlight w:val="none"/>
        </w:rPr>
      </w:pPr>
    </w:p>
    <w:p>
      <w:pPr>
        <w:spacing w:line="1000" w:lineRule="exact"/>
        <w:jc w:val="center"/>
        <w:rPr>
          <w:rFonts w:asciiTheme="majorEastAsia" w:eastAsiaTheme="majorEastAsia" w:hAnsiTheme="majorEastAsia" w:cstheme="majorEastAsia"/>
          <w:b/>
          <w:color w:val="auto"/>
          <w:sz w:val="52"/>
          <w:szCs w:val="52"/>
          <w:highlight w:val="none"/>
        </w:rPr>
      </w:pPr>
    </w:p>
    <w:p>
      <w:pPr>
        <w:spacing w:line="1000" w:lineRule="exact"/>
        <w:jc w:val="center"/>
        <w:rPr>
          <w:rFonts w:asciiTheme="majorEastAsia" w:eastAsiaTheme="majorEastAsia" w:hAnsiTheme="majorEastAsia" w:cstheme="majorEastAsia"/>
          <w:b/>
          <w:color w:val="auto"/>
          <w:sz w:val="52"/>
          <w:szCs w:val="52"/>
          <w:highlight w:val="none"/>
        </w:rPr>
      </w:pPr>
    </w:p>
    <w:p>
      <w:pPr>
        <w:jc w:val="center"/>
        <w:rPr>
          <w:rFonts w:asciiTheme="majorEastAsia" w:eastAsiaTheme="majorEastAsia" w:hAnsiTheme="majorEastAsia" w:cstheme="majorEastAsia"/>
          <w:b/>
          <w:color w:val="auto"/>
          <w:sz w:val="52"/>
          <w:szCs w:val="52"/>
          <w:highlight w:val="none"/>
        </w:rPr>
      </w:pPr>
      <w:r>
        <w:rPr>
          <w:rFonts w:asciiTheme="majorEastAsia" w:eastAsiaTheme="majorEastAsia" w:hAnsiTheme="majorEastAsia" w:cstheme="majorEastAsia" w:hint="eastAsia"/>
          <w:color w:val="auto"/>
          <w:spacing w:val="16"/>
          <w:highlight w:val="none"/>
        </w:rPr>
        <w:drawing>
          <wp:inline distT="0" distB="0" distL="0" distR="0">
            <wp:extent cx="781685" cy="725170"/>
            <wp:effectExtent l="0" t="0" r="18415" b="17780"/>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noChangeArrowheads="1"/>
                    </pic:cNvPicPr>
                  </pic:nvPicPr>
                  <pic:blipFill>
                    <a:blip xmlns:r="http://schemas.openxmlformats.org/officeDocument/2006/relationships" r:embed="rId6" cstate="print"/>
                    <a:stretch>
                      <a:fillRect/>
                    </a:stretch>
                  </pic:blipFill>
                  <pic:spPr>
                    <a:xfrm>
                      <a:off x="0" y="0"/>
                      <a:ext cx="781685" cy="725170"/>
                    </a:xfrm>
                    <a:prstGeom prst="rect">
                      <a:avLst/>
                    </a:prstGeom>
                    <a:noFill/>
                    <a:ln w="9525">
                      <a:noFill/>
                      <a:miter lim="800000"/>
                      <a:headEnd/>
                      <a:tailEnd/>
                    </a:ln>
                  </pic:spPr>
                </pic:pic>
              </a:graphicData>
            </a:graphic>
          </wp:inline>
        </w:drawing>
      </w:r>
    </w:p>
    <w:p>
      <w:pPr>
        <w:spacing w:line="600" w:lineRule="exact"/>
        <w:jc w:val="center"/>
        <w:rPr>
          <w:rFonts w:asciiTheme="majorEastAsia" w:eastAsiaTheme="majorEastAsia" w:hAnsiTheme="majorEastAsia" w:cstheme="majorEastAsia"/>
          <w:color w:val="auto"/>
          <w:sz w:val="36"/>
          <w:szCs w:val="36"/>
          <w:highlight w:val="none"/>
        </w:rPr>
      </w:pPr>
      <w:r>
        <w:rPr>
          <w:rFonts w:asciiTheme="majorEastAsia" w:eastAsiaTheme="majorEastAsia" w:hAnsiTheme="majorEastAsia" w:cstheme="majorEastAsia" w:hint="eastAsia"/>
          <w:color w:val="auto"/>
          <w:sz w:val="36"/>
          <w:szCs w:val="36"/>
          <w:highlight w:val="none"/>
        </w:rPr>
        <w:t>深圳交易咨询集团有限公司</w:t>
      </w:r>
    </w:p>
    <w:p>
      <w:pPr>
        <w:spacing w:line="600" w:lineRule="exact"/>
        <w:jc w:val="center"/>
        <w:rPr>
          <w:rFonts w:ascii="微软雅黑" w:eastAsia="微软雅黑" w:hAnsi="微软雅黑" w:cs="微软雅黑"/>
          <w:b/>
          <w:color w:val="auto"/>
          <w:sz w:val="36"/>
          <w:szCs w:val="36"/>
          <w:highlight w:val="none"/>
        </w:rPr>
      </w:pPr>
      <w:r>
        <w:rPr>
          <w:rFonts w:asciiTheme="majorEastAsia" w:eastAsiaTheme="majorEastAsia" w:hAnsiTheme="majorEastAsia" w:cstheme="majorEastAsia" w:hint="eastAsia"/>
          <w:color w:val="auto"/>
          <w:sz w:val="36"/>
          <w:szCs w:val="36"/>
          <w:highlight w:val="none"/>
        </w:rPr>
        <w:t>二〇二</w:t>
      </w:r>
      <w:r>
        <w:rPr>
          <w:rFonts w:asciiTheme="majorEastAsia" w:eastAsiaTheme="majorEastAsia" w:hAnsiTheme="majorEastAsia" w:cstheme="majorEastAsia" w:hint="eastAsia"/>
          <w:color w:val="auto"/>
          <w:sz w:val="36"/>
          <w:szCs w:val="36"/>
          <w:highlight w:val="none"/>
          <w:lang w:eastAsia="zh-CN"/>
        </w:rPr>
        <w:t>二</w:t>
      </w:r>
      <w:r>
        <w:rPr>
          <w:rFonts w:asciiTheme="majorEastAsia" w:eastAsiaTheme="majorEastAsia" w:hAnsiTheme="majorEastAsia" w:cstheme="majorEastAsia" w:hint="eastAsia"/>
          <w:color w:val="auto"/>
          <w:sz w:val="36"/>
          <w:szCs w:val="36"/>
          <w:highlight w:val="none"/>
        </w:rPr>
        <w:t>年</w:t>
      </w:r>
      <w:r>
        <w:rPr>
          <w:rFonts w:asciiTheme="majorEastAsia" w:eastAsiaTheme="majorEastAsia" w:hAnsiTheme="majorEastAsia" w:cstheme="majorEastAsia" w:hint="eastAsia"/>
          <w:color w:val="auto"/>
          <w:sz w:val="36"/>
          <w:szCs w:val="36"/>
          <w:highlight w:val="none"/>
          <w:lang w:eastAsia="zh-CN"/>
        </w:rPr>
        <w:t>十二</w:t>
      </w:r>
      <w:r>
        <w:rPr>
          <w:rFonts w:asciiTheme="majorEastAsia" w:eastAsiaTheme="majorEastAsia" w:hAnsiTheme="majorEastAsia" w:cstheme="majorEastAsia" w:hint="eastAsia"/>
          <w:color w:val="auto"/>
          <w:sz w:val="36"/>
          <w:szCs w:val="36"/>
          <w:highlight w:val="none"/>
        </w:rPr>
        <w:t>月</w:t>
      </w:r>
    </w:p>
    <w:p>
      <w:pPr>
        <w:pStyle w:val="Date"/>
        <w:spacing w:line="440" w:lineRule="exact"/>
        <w:jc w:val="center"/>
        <w:outlineLvl w:val="0"/>
        <w:rPr>
          <w:rFonts w:ascii="微软雅黑" w:eastAsia="微软雅黑" w:hAnsi="微软雅黑" w:cs="微软雅黑" w:hint="eastAsia"/>
          <w:b/>
          <w:color w:val="auto"/>
          <w:szCs w:val="32"/>
          <w:highlight w:val="none"/>
        </w:rPr>
        <w:sectPr>
          <w:headerReference w:type="default" r:id="rId7"/>
          <w:footerReference w:type="even" r:id="rId8"/>
          <w:pgSz w:w="11907" w:h="16840"/>
          <w:pgMar w:top="1440" w:right="1797" w:bottom="1440" w:left="1797" w:header="851" w:footer="992" w:gutter="0"/>
          <w:pgNumType w:start="0"/>
          <w:cols w:num="1" w:space="425"/>
          <w:titlePg/>
          <w:docGrid w:type="lines" w:linePitch="462" w:charSpace="0"/>
        </w:sectPr>
      </w:pPr>
      <w:bookmarkStart w:id="0" w:name="_Toc24946"/>
    </w:p>
    <w:p>
      <w:pPr>
        <w:pStyle w:val="Date"/>
        <w:spacing w:line="440" w:lineRule="exact"/>
        <w:jc w:val="center"/>
        <w:outlineLvl w:val="0"/>
        <w:rPr>
          <w:rFonts w:ascii="微软雅黑" w:eastAsia="微软雅黑" w:hAnsi="微软雅黑" w:cs="微软雅黑"/>
          <w:b/>
          <w:color w:val="auto"/>
          <w:szCs w:val="32"/>
          <w:highlight w:val="none"/>
        </w:rPr>
      </w:pPr>
      <w:r>
        <w:rPr>
          <w:rFonts w:ascii="微软雅黑" w:eastAsia="微软雅黑" w:hAnsi="微软雅黑" w:cs="微软雅黑" w:hint="eastAsia"/>
          <w:b/>
          <w:color w:val="auto"/>
          <w:szCs w:val="32"/>
          <w:highlight w:val="none"/>
        </w:rPr>
        <w:t>特别警示条款</w:t>
      </w:r>
      <w:bookmarkEnd w:id="0"/>
    </w:p>
    <w:p>
      <w:pPr>
        <w:spacing w:line="390" w:lineRule="exact"/>
        <w:ind w:firstLine="420" w:firstLineChars="200"/>
        <w:rPr>
          <w:rFonts w:asciiTheme="minorEastAsia" w:eastAsiaTheme="minorEastAsia" w:hAnsiTheme="minorEastAsia"/>
          <w:color w:val="auto"/>
          <w:szCs w:val="21"/>
          <w:highlight w:val="none"/>
        </w:rPr>
      </w:pP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（一）在采购活动中应当回避而未回避的；</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（二）未按本条例规定签订、履行采购合同，造成严重后果的；</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（三）隐瞒真实情况，提供虚假资料的；</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（四）以非法手段排斥其他供应商参与竞争的；</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（五）与其他采购参加人串通投标的；</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（六）恶意投诉的；</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（七）向采购项目相关人行贿或者提供其他不当利益的；</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（八）阻碍、抗拒主管部门监督检查的；</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（九）其他违反本条例规定的行为。</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二、根据深财购[2021]45号文规定，进一步规范投标供应商资质审查：</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rPr>
        <w:t>（一）依据《中华人民共和国政府采购法实施条例》第十八条规定，单位负责人为同一人或者存在直接控股、管理关系的不同供应商，不得参加同一合同项下的政府采购活动。</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rPr>
        <w:t>（二）项目开评标过程中，通过查看供应商投标文件、查询供应商股权信息等方式，核查同一项目中不同投标供应商之间，是否存在单位负责人为同一人或者存在直接控股、管理关系的情况。对疑似存在上述情形的供应商，</w:t>
      </w:r>
      <w:r>
        <w:rPr>
          <w:rFonts w:asciiTheme="minorEastAsia" w:eastAsiaTheme="minorEastAsia" w:hAnsiTheme="minorEastAsia" w:hint="eastAsia"/>
          <w:color w:val="auto"/>
          <w:szCs w:val="21"/>
          <w:highlight w:val="none"/>
        </w:rPr>
        <w:t>有权</w:t>
      </w:r>
      <w:r>
        <w:rPr>
          <w:rFonts w:asciiTheme="minorEastAsia" w:eastAsiaTheme="minorEastAsia" w:hAnsiTheme="minorEastAsia"/>
          <w:color w:val="auto"/>
          <w:szCs w:val="21"/>
          <w:highlight w:val="none"/>
        </w:rPr>
        <w:t>要求其在评标现场合理的时间内提供书面说明，必要时提交相关证明材料。</w:t>
      </w:r>
    </w:p>
    <w:p>
      <w:pPr>
        <w:spacing w:line="390" w:lineRule="exact"/>
        <w:ind w:firstLine="420" w:firstLineChars="200"/>
        <w:rPr>
          <w:rFonts w:ascii="宋体" w:hAnsi="宋体"/>
          <w:color w:val="auto"/>
          <w:spacing w:val="20"/>
          <w:sz w:val="44"/>
          <w:highlight w:val="none"/>
        </w:rPr>
      </w:pPr>
      <w:r>
        <w:rPr>
          <w:rFonts w:asciiTheme="minorEastAsia" w:eastAsiaTheme="minorEastAsia" w:hAnsiTheme="minorEastAsia"/>
          <w:color w:val="auto"/>
          <w:szCs w:val="21"/>
          <w:highlight w:val="none"/>
        </w:rPr>
        <w:t>（三）经核实，投标供应商确实存在《中华人民共和国政府采购法实施条例》第十八条规定情形的，依法认定其投标无效，涉嫌存在串通投标等违法行为的，书面报告同级财政部门。</w:t>
      </w:r>
    </w:p>
    <w:p>
      <w:pPr>
        <w:rPr>
          <w:rFonts w:ascii="微软雅黑" w:eastAsia="微软雅黑" w:hAnsi="微软雅黑" w:cs="微软雅黑"/>
          <w:b/>
          <w:color w:val="auto"/>
          <w:highlight w:val="none"/>
        </w:rPr>
      </w:pPr>
      <w:r>
        <w:rPr>
          <w:rFonts w:ascii="微软雅黑" w:eastAsia="微软雅黑" w:hAnsi="微软雅黑" w:cs="微软雅黑" w:hint="eastAsia"/>
          <w:b/>
          <w:color w:val="auto"/>
          <w:highlight w:val="none"/>
        </w:rPr>
        <w:br w:type="page"/>
      </w:r>
    </w:p>
    <w:p>
      <w:pPr>
        <w:pStyle w:val="Heading1"/>
        <w:keepNext w:val="0"/>
        <w:keepLines w:val="0"/>
        <w:rPr>
          <w:rFonts w:ascii="微软雅黑" w:eastAsia="微软雅黑" w:hAnsi="微软雅黑" w:cs="微软雅黑"/>
          <w:b/>
          <w:bCs w:val="0"/>
          <w:color w:val="auto"/>
          <w:highlight w:val="none"/>
        </w:rPr>
      </w:pPr>
      <w:r>
        <w:rPr>
          <w:rFonts w:ascii="微软雅黑" w:eastAsia="微软雅黑" w:hAnsi="微软雅黑" w:cs="微软雅黑" w:hint="eastAsia"/>
          <w:b/>
          <w:bCs w:val="0"/>
          <w:color w:val="auto"/>
          <w:highlight w:val="none"/>
        </w:rPr>
        <w:t>目  录</w:t>
      </w:r>
    </w:p>
    <w:p>
      <w:pPr>
        <w:spacing w:line="440" w:lineRule="exact"/>
        <w:rPr>
          <w:rFonts w:ascii="微软雅黑" w:eastAsia="微软雅黑" w:hAnsi="微软雅黑" w:cs="微软雅黑"/>
          <w:b/>
          <w:color w:val="auto"/>
          <w:szCs w:val="21"/>
          <w:highlight w:val="none"/>
        </w:rPr>
      </w:pPr>
      <w:r>
        <w:rPr>
          <w:rFonts w:ascii="微软雅黑" w:eastAsia="微软雅黑" w:hAnsi="微软雅黑" w:cs="微软雅黑" w:hint="eastAsia"/>
          <w:b/>
          <w:color w:val="auto"/>
          <w:szCs w:val="21"/>
          <w:highlight w:val="none"/>
        </w:rPr>
        <w:t>第一册  专用条款</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关键信息</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第一章  招标公告</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第二章  用户需求书</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第三章  投标文件格式、附件</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第四章  合同条款及格式</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第五章  招标代理服务费</w:t>
      </w:r>
    </w:p>
    <w:p>
      <w:pPr>
        <w:spacing w:line="440" w:lineRule="exact"/>
        <w:rPr>
          <w:rFonts w:ascii="微软雅黑" w:eastAsia="微软雅黑" w:hAnsi="微软雅黑" w:cs="微软雅黑"/>
          <w:b/>
          <w:color w:val="auto"/>
          <w:szCs w:val="21"/>
          <w:highlight w:val="none"/>
        </w:rPr>
      </w:pPr>
      <w:r>
        <w:rPr>
          <w:rFonts w:ascii="微软雅黑" w:eastAsia="微软雅黑" w:hAnsi="微软雅黑" w:cs="微软雅黑" w:hint="eastAsia"/>
          <w:b/>
          <w:color w:val="auto"/>
          <w:szCs w:val="21"/>
          <w:highlight w:val="none"/>
        </w:rPr>
        <w:t>第二册  通用条款</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第一章  总则</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第二章  招标文件</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第三章  投标文件的编制</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第四章  投标文件的递交</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第五章  开标</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第六章  评标要求</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第七章  评标程序及评标方法</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第八章  定标及公示</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第九章  公开招标失败的后续处理</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第十章  合同的授予与备案</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第十一章  质疑处理</w:t>
      </w:r>
    </w:p>
    <w:p>
      <w:pPr>
        <w:spacing w:line="440" w:lineRule="exact"/>
        <w:rPr>
          <w:rFonts w:asciiTheme="majorEastAsia" w:eastAsiaTheme="majorEastAsia" w:hAnsiTheme="majorEastAsia" w:cstheme="majorEastAsia"/>
          <w:color w:val="auto"/>
          <w:szCs w:val="21"/>
          <w:highlight w:val="none"/>
        </w:rPr>
      </w:pPr>
    </w:p>
    <w:p>
      <w:pPr>
        <w:spacing w:line="440" w:lineRule="exact"/>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备注：</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color w:val="auto"/>
          <w:szCs w:val="21"/>
          <w:highlight w:val="none"/>
        </w:rPr>
        <w:t>1、本招标文件分为第一册“专用条款”和第二册“通用条款”；</w:t>
      </w:r>
    </w:p>
    <w:p>
      <w:pPr>
        <w:spacing w:line="440" w:lineRule="exact"/>
        <w:ind w:firstLine="420" w:firstLineChars="20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2、“专用条款”是对本次采购项目的具体要求，包含招标公告、用户需求书、投标文件格式、合同条款及格式、附件等内容；</w:t>
      </w:r>
    </w:p>
    <w:p>
      <w:pPr>
        <w:spacing w:line="440" w:lineRule="exact"/>
        <w:ind w:firstLine="420" w:firstLineChars="20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3、“通用条款”是通用于政府采购项目的基础性条款，具有普遍性和通用性；</w:t>
      </w:r>
    </w:p>
    <w:p>
      <w:pPr>
        <w:spacing w:line="440" w:lineRule="exact"/>
        <w:ind w:firstLine="420" w:firstLineChars="20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4、当出现“专用条款”和“通用条款”表述不一致或有冲突时，以“专用条款”为准。</w:t>
      </w:r>
    </w:p>
    <w:p>
      <w:pPr>
        <w:rPr>
          <w:rFonts w:ascii="微软雅黑" w:eastAsia="微软雅黑" w:hAnsi="微软雅黑" w:cs="微软雅黑"/>
          <w:b/>
          <w:color w:val="auto"/>
          <w:highlight w:val="none"/>
        </w:rPr>
      </w:pPr>
      <w:r>
        <w:rPr>
          <w:rFonts w:ascii="微软雅黑" w:eastAsia="微软雅黑" w:hAnsi="微软雅黑" w:cs="微软雅黑" w:hint="eastAsia"/>
          <w:b/>
          <w:color w:val="auto"/>
          <w:highlight w:val="none"/>
        </w:rPr>
        <w:br w:type="page"/>
      </w:r>
    </w:p>
    <w:p>
      <w:pPr>
        <w:pStyle w:val="Heading1"/>
        <w:keepNext w:val="0"/>
        <w:keepLines w:val="0"/>
        <w:rPr>
          <w:rFonts w:ascii="微软雅黑" w:eastAsia="微软雅黑" w:hAnsi="微软雅黑" w:cs="微软雅黑"/>
          <w:b/>
          <w:bCs w:val="0"/>
          <w:color w:val="auto"/>
          <w:highlight w:val="none"/>
        </w:rPr>
      </w:pPr>
      <w:r>
        <w:rPr>
          <w:rFonts w:ascii="微软雅黑" w:eastAsia="微软雅黑" w:hAnsi="微软雅黑" w:cs="微软雅黑" w:hint="eastAsia"/>
          <w:b/>
          <w:bCs w:val="0"/>
          <w:color w:val="auto"/>
          <w:highlight w:val="none"/>
        </w:rPr>
        <w:t>第一册  专用条款</w:t>
      </w:r>
    </w:p>
    <w:p>
      <w:pPr>
        <w:pStyle w:val="Heading2"/>
        <w:rPr>
          <w:rFonts w:ascii="微软雅黑" w:eastAsia="微软雅黑" w:hAnsi="微软雅黑" w:cs="微软雅黑"/>
          <w:b/>
          <w:bCs/>
          <w:color w:val="auto"/>
          <w:sz w:val="32"/>
          <w:szCs w:val="32"/>
          <w:highlight w:val="none"/>
        </w:rPr>
      </w:pPr>
      <w:r>
        <w:rPr>
          <w:rFonts w:ascii="微软雅黑" w:eastAsia="微软雅黑" w:hAnsi="微软雅黑" w:cs="微软雅黑" w:hint="eastAsia"/>
          <w:b/>
          <w:bCs/>
          <w:color w:val="auto"/>
          <w:sz w:val="32"/>
          <w:szCs w:val="32"/>
          <w:highlight w:val="none"/>
        </w:rPr>
        <w:t>关键信息</w:t>
      </w:r>
    </w:p>
    <w:p>
      <w:pPr>
        <w:pStyle w:val="Heading3"/>
        <w:keepNext w:val="0"/>
        <w:keepLines w:val="0"/>
        <w:spacing w:before="0" w:after="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招标文件信息</w:t>
      </w:r>
    </w:p>
    <w:tbl>
      <w:tblPr>
        <w:tblStyle w:val="TableGrid"/>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13"/>
        <w:gridCol w:w="7064"/>
      </w:tblGrid>
      <w:tr>
        <w:tblPrEx>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80"/>
          <w:jc w:val="center"/>
        </w:trPr>
        <w:tc>
          <w:tcPr>
            <w:tcW w:w="1313" w:type="dxa"/>
            <w:vAlign w:val="center"/>
          </w:tcPr>
          <w:p>
            <w:pPr>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项目编号</w:t>
            </w:r>
          </w:p>
        </w:tc>
        <w:tc>
          <w:tcPr>
            <w:tcW w:w="7064" w:type="dxa"/>
            <w:vAlign w:val="center"/>
          </w:tcPr>
          <w:p>
            <w:pPr>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SZDL2022002579</w:t>
            </w:r>
          </w:p>
        </w:tc>
      </w:tr>
      <w:tr>
        <w:tblPrEx>
          <w:tblW w:w="8377" w:type="dxa"/>
          <w:jc w:val="center"/>
          <w:tblLayout w:type="fixed"/>
          <w:tblCellMar>
            <w:top w:w="0" w:type="dxa"/>
            <w:left w:w="108" w:type="dxa"/>
            <w:bottom w:w="0" w:type="dxa"/>
            <w:right w:w="108" w:type="dxa"/>
          </w:tblCellMar>
        </w:tblPrEx>
        <w:trPr>
          <w:trHeight w:val="680"/>
          <w:jc w:val="center"/>
        </w:trPr>
        <w:tc>
          <w:tcPr>
            <w:tcW w:w="1313" w:type="dxa"/>
            <w:vAlign w:val="center"/>
          </w:tcPr>
          <w:p>
            <w:pPr>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项目名称</w:t>
            </w:r>
          </w:p>
        </w:tc>
        <w:tc>
          <w:tcPr>
            <w:tcW w:w="7064" w:type="dxa"/>
            <w:vAlign w:val="center"/>
          </w:tcPr>
          <w:p>
            <w:pPr>
              <w:jc w:val="left"/>
              <w:rPr>
                <w:rFonts w:asciiTheme="majorEastAsia" w:eastAsiaTheme="majorEastAsia" w:hAnsiTheme="majorEastAsia" w:cstheme="majorEastAsia" w:hint="eastAsia"/>
                <w:color w:val="auto"/>
                <w:szCs w:val="21"/>
                <w:highlight w:val="none"/>
                <w:lang w:eastAsia="zh-CN"/>
              </w:rPr>
            </w:pPr>
            <w:r>
              <w:rPr>
                <w:rFonts w:asciiTheme="majorEastAsia" w:eastAsiaTheme="majorEastAsia" w:hAnsiTheme="majorEastAsia" w:cstheme="majorEastAsia" w:hint="eastAsia"/>
                <w:color w:val="auto"/>
                <w:szCs w:val="21"/>
                <w:highlight w:val="none"/>
                <w:lang w:eastAsia="zh-CN"/>
              </w:rPr>
              <w:t>市残联新媒体宣传</w:t>
            </w:r>
          </w:p>
        </w:tc>
      </w:tr>
      <w:tr>
        <w:tblPrEx>
          <w:tblW w:w="8377" w:type="dxa"/>
          <w:jc w:val="center"/>
          <w:tblLayout w:type="fixed"/>
          <w:tblCellMar>
            <w:top w:w="0" w:type="dxa"/>
            <w:left w:w="108" w:type="dxa"/>
            <w:bottom w:w="0" w:type="dxa"/>
            <w:right w:w="108" w:type="dxa"/>
          </w:tblCellMar>
        </w:tblPrEx>
        <w:trPr>
          <w:trHeight w:val="680"/>
          <w:jc w:val="center"/>
        </w:trPr>
        <w:tc>
          <w:tcPr>
            <w:tcW w:w="1313" w:type="dxa"/>
            <w:vAlign w:val="center"/>
          </w:tcPr>
          <w:p>
            <w:pPr>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包    号</w:t>
            </w:r>
          </w:p>
        </w:tc>
        <w:tc>
          <w:tcPr>
            <w:tcW w:w="7064" w:type="dxa"/>
            <w:vAlign w:val="center"/>
          </w:tcPr>
          <w:p>
            <w:pPr>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A</w:t>
            </w:r>
          </w:p>
        </w:tc>
      </w:tr>
      <w:tr>
        <w:tblPrEx>
          <w:tblW w:w="8377" w:type="dxa"/>
          <w:jc w:val="center"/>
          <w:tblLayout w:type="fixed"/>
          <w:tblCellMar>
            <w:top w:w="0" w:type="dxa"/>
            <w:left w:w="108" w:type="dxa"/>
            <w:bottom w:w="0" w:type="dxa"/>
            <w:right w:w="108" w:type="dxa"/>
          </w:tblCellMar>
        </w:tblPrEx>
        <w:trPr>
          <w:trHeight w:val="680"/>
          <w:jc w:val="center"/>
        </w:trPr>
        <w:tc>
          <w:tcPr>
            <w:tcW w:w="1313" w:type="dxa"/>
            <w:vAlign w:val="center"/>
          </w:tcPr>
          <w:p>
            <w:pPr>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项目类型</w:t>
            </w:r>
          </w:p>
        </w:tc>
        <w:tc>
          <w:tcPr>
            <w:tcW w:w="7064" w:type="dxa"/>
            <w:vAlign w:val="center"/>
          </w:tcPr>
          <w:p>
            <w:pPr>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服务类</w:t>
            </w:r>
          </w:p>
        </w:tc>
      </w:tr>
      <w:tr>
        <w:tblPrEx>
          <w:tblW w:w="8377" w:type="dxa"/>
          <w:jc w:val="center"/>
          <w:tblLayout w:type="fixed"/>
          <w:tblCellMar>
            <w:top w:w="0" w:type="dxa"/>
            <w:left w:w="108" w:type="dxa"/>
            <w:bottom w:w="0" w:type="dxa"/>
            <w:right w:w="108" w:type="dxa"/>
          </w:tblCellMar>
        </w:tblPrEx>
        <w:trPr>
          <w:trHeight w:val="680"/>
          <w:jc w:val="center"/>
        </w:trPr>
        <w:tc>
          <w:tcPr>
            <w:tcW w:w="1313" w:type="dxa"/>
            <w:vAlign w:val="center"/>
          </w:tcPr>
          <w:p>
            <w:pPr>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采购方式</w:t>
            </w:r>
          </w:p>
        </w:tc>
        <w:tc>
          <w:tcPr>
            <w:tcW w:w="7064" w:type="dxa"/>
            <w:vAlign w:val="center"/>
          </w:tcPr>
          <w:p>
            <w:pPr>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公开招标</w:t>
            </w:r>
          </w:p>
        </w:tc>
      </w:tr>
      <w:tr>
        <w:tblPrEx>
          <w:tblW w:w="8377" w:type="dxa"/>
          <w:jc w:val="center"/>
          <w:tblLayout w:type="fixed"/>
          <w:tblCellMar>
            <w:top w:w="0" w:type="dxa"/>
            <w:left w:w="108" w:type="dxa"/>
            <w:bottom w:w="0" w:type="dxa"/>
            <w:right w:w="108" w:type="dxa"/>
          </w:tblCellMar>
        </w:tblPrEx>
        <w:trPr>
          <w:trHeight w:val="680"/>
          <w:jc w:val="center"/>
        </w:trPr>
        <w:tc>
          <w:tcPr>
            <w:tcW w:w="1313" w:type="dxa"/>
            <w:vAlign w:val="center"/>
          </w:tcPr>
          <w:p>
            <w:pPr>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货币类型</w:t>
            </w:r>
          </w:p>
        </w:tc>
        <w:tc>
          <w:tcPr>
            <w:tcW w:w="7064" w:type="dxa"/>
            <w:vAlign w:val="center"/>
          </w:tcPr>
          <w:p>
            <w:pPr>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人民币</w:t>
            </w:r>
          </w:p>
        </w:tc>
      </w:tr>
      <w:tr>
        <w:tblPrEx>
          <w:tblW w:w="8377" w:type="dxa"/>
          <w:jc w:val="center"/>
          <w:tblLayout w:type="fixed"/>
          <w:tblCellMar>
            <w:top w:w="0" w:type="dxa"/>
            <w:left w:w="108" w:type="dxa"/>
            <w:bottom w:w="0" w:type="dxa"/>
            <w:right w:w="108" w:type="dxa"/>
          </w:tblCellMar>
        </w:tblPrEx>
        <w:trPr>
          <w:trHeight w:val="680"/>
          <w:jc w:val="center"/>
        </w:trPr>
        <w:tc>
          <w:tcPr>
            <w:tcW w:w="1313" w:type="dxa"/>
            <w:vAlign w:val="center"/>
          </w:tcPr>
          <w:p>
            <w:pPr>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评标方法</w:t>
            </w:r>
          </w:p>
        </w:tc>
        <w:tc>
          <w:tcPr>
            <w:tcW w:w="7064" w:type="dxa"/>
            <w:vAlign w:val="center"/>
          </w:tcPr>
          <w:p>
            <w:pPr>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综合评分法（新价格分算法）</w:t>
            </w:r>
          </w:p>
        </w:tc>
      </w:tr>
      <w:tr>
        <w:tblPrEx>
          <w:tblW w:w="8377" w:type="dxa"/>
          <w:jc w:val="center"/>
          <w:tblLayout w:type="fixed"/>
          <w:tblCellMar>
            <w:top w:w="0" w:type="dxa"/>
            <w:left w:w="108" w:type="dxa"/>
            <w:bottom w:w="0" w:type="dxa"/>
            <w:right w:w="108" w:type="dxa"/>
          </w:tblCellMar>
        </w:tblPrEx>
        <w:trPr>
          <w:trHeight w:val="680"/>
          <w:jc w:val="center"/>
        </w:trPr>
        <w:tc>
          <w:tcPr>
            <w:tcW w:w="1313" w:type="dxa"/>
            <w:vAlign w:val="center"/>
          </w:tcPr>
          <w:p>
            <w:pPr>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定标办法</w:t>
            </w:r>
          </w:p>
        </w:tc>
        <w:tc>
          <w:tcPr>
            <w:tcW w:w="7064" w:type="dxa"/>
            <w:vAlign w:val="center"/>
          </w:tcPr>
          <w:p>
            <w:pPr>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授权评标委员会确定中标单位（具体方法详见“第二册通用条款第八章”）</w:t>
            </w:r>
          </w:p>
        </w:tc>
      </w:tr>
    </w:tbl>
    <w:p>
      <w:pPr>
        <w:spacing w:line="400" w:lineRule="exact"/>
        <w:rPr>
          <w:rFonts w:asciiTheme="majorEastAsia" w:eastAsiaTheme="majorEastAsia" w:hAnsiTheme="majorEastAsia" w:cstheme="majorEastAsia"/>
          <w:color w:val="auto"/>
          <w:sz w:val="28"/>
          <w:szCs w:val="28"/>
          <w:highlight w:val="none"/>
        </w:rPr>
      </w:pPr>
    </w:p>
    <w:p>
      <w:pPr>
        <w:rPr>
          <w:rFonts w:asciiTheme="majorEastAsia" w:eastAsiaTheme="majorEastAsia" w:hAnsiTheme="majorEastAsia" w:cstheme="majorEastAsia"/>
          <w:color w:val="auto"/>
          <w:szCs w:val="28"/>
          <w:highlight w:val="none"/>
        </w:rPr>
      </w:pPr>
    </w:p>
    <w:p>
      <w:pPr>
        <w:rPr>
          <w:rFonts w:asciiTheme="majorEastAsia" w:eastAsiaTheme="majorEastAsia" w:hAnsiTheme="majorEastAsia" w:cstheme="majorEastAsia"/>
          <w:color w:val="auto"/>
          <w:szCs w:val="28"/>
          <w:highlight w:val="none"/>
        </w:rPr>
      </w:pPr>
    </w:p>
    <w:p>
      <w:pP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br w:type="page"/>
      </w:r>
    </w:p>
    <w:p>
      <w:pPr>
        <w:pStyle w:val="Heading3"/>
        <w:keepNext w:val="0"/>
        <w:keepLines w:val="0"/>
        <w:spacing w:before="0" w:after="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资格性审查表</w:t>
      </w:r>
    </w:p>
    <w:tbl>
      <w:tblPr>
        <w:tblStyle w:val="TableNormal"/>
        <w:tblW w:w="8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59"/>
        <w:gridCol w:w="7435"/>
      </w:tblGrid>
      <w:tr>
        <w:tblPrEx>
          <w:tblW w:w="8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57"/>
          <w:jc w:val="center"/>
        </w:trPr>
        <w:tc>
          <w:tcPr>
            <w:tcW w:w="959" w:type="dxa"/>
            <w:vAlign w:val="center"/>
          </w:tcPr>
          <w:p>
            <w:pPr>
              <w:spacing w:line="400" w:lineRule="exact"/>
              <w:jc w:val="center"/>
              <w:rPr>
                <w:rFonts w:asciiTheme="majorEastAsia" w:eastAsiaTheme="majorEastAsia" w:hAnsiTheme="majorEastAsia" w:cstheme="majorEastAsia"/>
                <w:b/>
                <w:bCs/>
                <w:color w:val="auto"/>
                <w:highlight w:val="none"/>
              </w:rPr>
            </w:pPr>
            <w:r>
              <w:rPr>
                <w:rFonts w:asciiTheme="majorEastAsia" w:eastAsiaTheme="majorEastAsia" w:hAnsiTheme="majorEastAsia" w:cstheme="majorEastAsia" w:hint="eastAsia"/>
                <w:b/>
                <w:bCs/>
                <w:color w:val="auto"/>
                <w:highlight w:val="none"/>
              </w:rPr>
              <w:t>序号</w:t>
            </w:r>
          </w:p>
        </w:tc>
        <w:tc>
          <w:tcPr>
            <w:tcW w:w="7435" w:type="dxa"/>
            <w:vAlign w:val="center"/>
          </w:tcPr>
          <w:p>
            <w:pPr>
              <w:spacing w:line="400" w:lineRule="exact"/>
              <w:jc w:val="center"/>
              <w:rPr>
                <w:rFonts w:asciiTheme="majorEastAsia" w:eastAsiaTheme="majorEastAsia" w:hAnsiTheme="majorEastAsia" w:cstheme="majorEastAsia"/>
                <w:b/>
                <w:bCs/>
                <w:color w:val="auto"/>
                <w:highlight w:val="none"/>
              </w:rPr>
            </w:pPr>
            <w:r>
              <w:rPr>
                <w:rFonts w:asciiTheme="majorEastAsia" w:eastAsiaTheme="majorEastAsia" w:hAnsiTheme="majorEastAsia" w:cstheme="majorEastAsia" w:hint="eastAsia"/>
                <w:b/>
                <w:bCs/>
                <w:color w:val="auto"/>
                <w:highlight w:val="none"/>
              </w:rPr>
              <w:t>内容</w:t>
            </w:r>
          </w:p>
        </w:tc>
      </w:tr>
      <w:tr>
        <w:tblPrEx>
          <w:tblW w:w="8394" w:type="dxa"/>
          <w:jc w:val="center"/>
          <w:tblLayout w:type="fixed"/>
          <w:tblCellMar>
            <w:top w:w="0" w:type="dxa"/>
            <w:left w:w="108" w:type="dxa"/>
            <w:bottom w:w="0" w:type="dxa"/>
            <w:right w:w="108" w:type="dxa"/>
          </w:tblCellMar>
        </w:tblPrEx>
        <w:trPr>
          <w:trHeight w:val="567"/>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1</w:t>
            </w:r>
          </w:p>
        </w:tc>
        <w:tc>
          <w:tcPr>
            <w:tcW w:w="7435" w:type="dxa"/>
            <w:vAlign w:val="center"/>
          </w:tcPr>
          <w:p>
            <w:pPr>
              <w:spacing w:line="400" w:lineRule="exact"/>
              <w:jc w:val="left"/>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投标人不具备招标文件所列的资格要求，或未提交相应的资格证明资料（详见招标公告投标人资格要求）；</w:t>
            </w:r>
          </w:p>
        </w:tc>
      </w:tr>
    </w:tbl>
    <w:p>
      <w:pPr>
        <w:spacing w:line="0" w:lineRule="atLeast"/>
        <w:jc w:val="left"/>
        <w:rPr>
          <w:rFonts w:asciiTheme="majorEastAsia" w:eastAsiaTheme="majorEastAsia" w:hAnsiTheme="majorEastAsia" w:cstheme="majorEastAsia"/>
          <w:color w:val="auto"/>
          <w:szCs w:val="28"/>
          <w:highlight w:val="none"/>
        </w:rPr>
      </w:pPr>
    </w:p>
    <w:p>
      <w:pPr>
        <w:pStyle w:val="Heading3"/>
        <w:keepNext w:val="0"/>
        <w:keepLines w:val="0"/>
        <w:spacing w:before="0" w:after="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符合性审查表</w:t>
      </w:r>
    </w:p>
    <w:tbl>
      <w:tblPr>
        <w:tblStyle w:val="TableNormal"/>
        <w:tblW w:w="8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59"/>
        <w:gridCol w:w="7435"/>
      </w:tblGrid>
      <w:tr>
        <w:tblPrEx>
          <w:tblW w:w="8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b/>
                <w:bCs/>
                <w:color w:val="auto"/>
                <w:highlight w:val="none"/>
              </w:rPr>
            </w:pPr>
            <w:r>
              <w:rPr>
                <w:rFonts w:asciiTheme="majorEastAsia" w:eastAsiaTheme="majorEastAsia" w:hAnsiTheme="majorEastAsia" w:cstheme="majorEastAsia" w:hint="eastAsia"/>
                <w:b/>
                <w:bCs/>
                <w:color w:val="auto"/>
                <w:highlight w:val="none"/>
              </w:rPr>
              <w:t>序号</w:t>
            </w:r>
          </w:p>
        </w:tc>
        <w:tc>
          <w:tcPr>
            <w:tcW w:w="7435" w:type="dxa"/>
            <w:vAlign w:val="center"/>
          </w:tcPr>
          <w:p>
            <w:pPr>
              <w:spacing w:line="400" w:lineRule="exact"/>
              <w:jc w:val="center"/>
              <w:rPr>
                <w:rFonts w:asciiTheme="majorEastAsia" w:eastAsiaTheme="majorEastAsia" w:hAnsiTheme="majorEastAsia" w:cstheme="majorEastAsia"/>
                <w:b/>
                <w:bCs/>
                <w:color w:val="auto"/>
                <w:highlight w:val="none"/>
              </w:rPr>
            </w:pPr>
            <w:r>
              <w:rPr>
                <w:rFonts w:asciiTheme="majorEastAsia" w:eastAsiaTheme="majorEastAsia" w:hAnsiTheme="majorEastAsia" w:cstheme="majorEastAsia" w:hint="eastAsia"/>
                <w:b/>
                <w:bCs/>
                <w:color w:val="auto"/>
                <w:highlight w:val="none"/>
              </w:rPr>
              <w:t>内容</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1</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将一个包或一个标段的内容拆开投标；</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2</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对同一项目投标时，提供两套以上的投标方案（招标文件另有规定的除外）；</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3</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分项报价或投标总价高于预算金额（</w:t>
            </w:r>
            <w:r>
              <w:rPr>
                <w:rFonts w:hint="eastAsia"/>
                <w:color w:val="auto"/>
                <w:highlight w:val="none"/>
              </w:rPr>
              <w:t>或设定的财政预算金额下的最高限价</w:t>
            </w:r>
            <w:r>
              <w:rPr>
                <w:rFonts w:asciiTheme="majorEastAsia" w:eastAsiaTheme="majorEastAsia" w:hAnsiTheme="majorEastAsia" w:cstheme="majorEastAsia" w:hint="eastAsia"/>
                <w:color w:val="auto"/>
                <w:szCs w:val="21"/>
                <w:highlight w:val="none"/>
              </w:rPr>
              <w:t>）；</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4</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同一项目出现两个及以上报价，且按规定无法确定哪个是有效报价；</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5</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r>
              <w:rPr>
                <w:rFonts w:asciiTheme="minorEastAsia" w:eastAsiaTheme="minorEastAsia" w:hAnsiTheme="minorEastAsia" w:hint="eastAsia"/>
                <w:color w:val="auto"/>
                <w:szCs w:val="21"/>
                <w:highlight w:val="none"/>
              </w:rPr>
              <w:t>（若评审委员会成员对是否须由投标人作出报价合理性说明，以及书面说明是否采纳等判断不一致的，按照“少数服从多数”的原则确定评审委员会的意见）</w:t>
            </w:r>
            <w:r>
              <w:rPr>
                <w:rFonts w:asciiTheme="majorEastAsia" w:eastAsiaTheme="majorEastAsia" w:hAnsiTheme="majorEastAsia" w:cstheme="majorEastAsia" w:hint="eastAsia"/>
                <w:color w:val="auto"/>
                <w:szCs w:val="21"/>
                <w:highlight w:val="none"/>
              </w:rPr>
              <w:t>；</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6</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所投货物、服务在商务、技术等方面没有实质性满足招标文件要求的（是否实质性满足招标文件要求，由评标委员会根据《实质性响应条款偏离表》做出评判）；</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7</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未按招标文件所提供的样式填写《投标函》；未按招标文件所提供的《政府采购投标及履约承诺函》进行承诺；未按招标文件对投标文件组成的要求提供投标文件的（投标文件组成不完整）；</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8</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投标报价有缺漏项目，或者对招标文件规定的项目需求内容或者需求数量进行修改，评审委员会判定投标响应不满足采购需求；</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9</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投标文件存在列放位置错误，导致属于信息公开情形的没有被公开；</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10</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投标文件电子文档带病毒；</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11</w:t>
            </w:r>
          </w:p>
        </w:tc>
        <w:tc>
          <w:tcPr>
            <w:tcW w:w="7435" w:type="dxa"/>
            <w:vAlign w:val="center"/>
          </w:tcPr>
          <w:p>
            <w:pPr>
              <w:pStyle w:val="CommentTex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kern w:val="2"/>
                <w:sz w:val="21"/>
                <w:szCs w:val="21"/>
                <w:highlight w:val="none"/>
                <w:lang w:val="en-US" w:eastAsia="zh-CN" w:bidi="ar-SA"/>
              </w:rPr>
              <w:t>投标人未在本项目解密截止时间前完成投标文件在线解密；</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12</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法律、法规、规章、规范性文件规定的其他情形。</w:t>
            </w:r>
          </w:p>
        </w:tc>
      </w:tr>
    </w:tbl>
    <w:p>
      <w:pPr>
        <w:spacing w:line="340" w:lineRule="exact"/>
        <w:ind w:firstLine="420"/>
        <w:rPr>
          <w:rFonts w:asciiTheme="majorEastAsia" w:eastAsiaTheme="majorEastAsia" w:hAnsiTheme="majorEastAsia" w:cstheme="majorEastAsia"/>
          <w:b/>
          <w:bCs/>
          <w:color w:val="auto"/>
          <w:sz w:val="32"/>
          <w:szCs w:val="32"/>
          <w:highlight w:val="none"/>
        </w:rPr>
      </w:pPr>
      <w:r>
        <w:rPr>
          <w:rFonts w:asciiTheme="majorEastAsia" w:eastAsiaTheme="majorEastAsia" w:hAnsiTheme="majorEastAsia" w:cstheme="majorEastAsia" w:hint="eastAsia"/>
          <w:b/>
          <w:color w:val="auto"/>
          <w:highlight w:val="none"/>
        </w:rPr>
        <w:t>备注：凡有上列情形之一的，《资格性审查表》或《符合性审查表》初审不通过，按投标无效处理。</w:t>
      </w:r>
      <w:r>
        <w:rPr>
          <w:rFonts w:hint="eastAsia"/>
          <w:b/>
          <w:color w:val="auto"/>
          <w:szCs w:val="21"/>
          <w:highlight w:val="none"/>
        </w:rPr>
        <w:t>评标委员会在作资格性审查和符合性审查之前，将查看并比对各投标供应商标书的文件特征码、文件制作机器码、文本内容相似度等标书雷同性分析情况。</w:t>
      </w:r>
    </w:p>
    <w:p>
      <w:pPr>
        <w:rPr>
          <w:rFonts w:asciiTheme="majorEastAsia" w:eastAsiaTheme="majorEastAsia" w:hAnsiTheme="majorEastAsia" w:cstheme="majorEastAsia"/>
          <w:b/>
          <w:bCs/>
          <w:color w:val="auto"/>
          <w:sz w:val="32"/>
          <w:szCs w:val="32"/>
          <w:highlight w:val="none"/>
        </w:rPr>
      </w:pPr>
      <w:r>
        <w:rPr>
          <w:rFonts w:asciiTheme="majorEastAsia" w:eastAsiaTheme="majorEastAsia" w:hAnsiTheme="majorEastAsia" w:cstheme="majorEastAsia" w:hint="eastAsia"/>
          <w:b/>
          <w:bCs/>
          <w:color w:val="auto"/>
          <w:sz w:val="32"/>
          <w:szCs w:val="32"/>
          <w:highlight w:val="none"/>
        </w:rPr>
        <w:br w:type="page"/>
      </w:r>
    </w:p>
    <w:p>
      <w:pPr>
        <w:pStyle w:val="Heading3"/>
        <w:keepNext w:val="0"/>
        <w:keepLines w:val="0"/>
        <w:spacing w:before="0" w:after="0"/>
        <w:jc w:val="center"/>
        <w:rPr>
          <w:rFonts w:asciiTheme="majorEastAsia" w:eastAsiaTheme="majorEastAsia" w:hAnsiTheme="majorEastAsia" w:cstheme="majorEastAsia"/>
          <w:color w:val="auto"/>
          <w:sz w:val="32"/>
          <w:highlight w:val="none"/>
        </w:rPr>
      </w:pPr>
      <w:r>
        <w:rPr>
          <w:rFonts w:asciiTheme="majorEastAsia" w:eastAsiaTheme="majorEastAsia" w:hAnsiTheme="majorEastAsia" w:cstheme="majorEastAsia" w:hint="eastAsia"/>
          <w:color w:val="auto"/>
          <w:sz w:val="32"/>
          <w:highlight w:val="none"/>
        </w:rPr>
        <w:t>评标信息</w:t>
      </w:r>
    </w:p>
    <w:p>
      <w:pPr>
        <w:spacing w:line="430" w:lineRule="exact"/>
        <w:ind w:firstLine="412" w:firstLineChars="196"/>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b/>
          <w:bCs/>
          <w:color w:val="auto"/>
          <w:highlight w:val="none"/>
        </w:rPr>
        <w:t>一、评标方法</w:t>
      </w:r>
    </w:p>
    <w:p>
      <w:pPr>
        <w:spacing w:line="430" w:lineRule="exact"/>
        <w:ind w:firstLine="420" w:firstLineChars="2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1、综合评分法：详见“第二册 通用条款”第七章。</w:t>
      </w:r>
    </w:p>
    <w:p>
      <w:pPr>
        <w:spacing w:line="430" w:lineRule="exact"/>
        <w:ind w:firstLine="420" w:firstLineChars="2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（1）价格分计算方法：</w:t>
      </w:r>
    </w:p>
    <w:p>
      <w:pPr>
        <w:spacing w:line="430" w:lineRule="exact"/>
        <w:ind w:firstLine="420" w:firstLineChars="200"/>
        <w:rPr>
          <w:rFonts w:asciiTheme="majorEastAsia" w:eastAsiaTheme="majorEastAsia" w:hAnsiTheme="majorEastAsia" w:cstheme="majorEastAsia" w:hint="eastAsia"/>
          <w:bCs/>
          <w:color w:val="auto"/>
          <w:szCs w:val="21"/>
          <w:highlight w:val="none"/>
          <w:lang w:eastAsia="zh-CN"/>
        </w:rPr>
      </w:pPr>
      <w:r>
        <w:rPr>
          <w:rFonts w:asciiTheme="majorEastAsia" w:eastAsiaTheme="majorEastAsia" w:hAnsiTheme="majorEastAsia" w:cstheme="majorEastAsia" w:hint="eastAsia"/>
          <w:bCs/>
          <w:color w:val="auto"/>
          <w:szCs w:val="21"/>
          <w:highlight w:val="none"/>
        </w:rPr>
        <w:t xml:space="preserve">采用低价优先法计算，即满足招标文件要求且投标价格最低的投标报价为评标基准价，其价格分为满分。其他投标人的价格分统一按照下列公式计算： </w:t>
      </w:r>
    </w:p>
    <w:p>
      <w:pPr>
        <w:spacing w:line="430" w:lineRule="exact"/>
        <w:ind w:firstLine="420" w:firstLineChars="200"/>
        <w:rPr>
          <w:rFonts w:asciiTheme="majorEastAsia" w:eastAsiaTheme="majorEastAsia" w:hAnsiTheme="majorEastAsia" w:cstheme="majorEastAsia" w:hint="eastAsia"/>
          <w:bCs/>
          <w:color w:val="auto"/>
          <w:szCs w:val="21"/>
          <w:highlight w:val="none"/>
          <w:lang w:eastAsia="zh-CN"/>
        </w:rPr>
      </w:pPr>
      <w:r>
        <w:rPr>
          <w:rFonts w:asciiTheme="majorEastAsia" w:eastAsiaTheme="majorEastAsia" w:hAnsiTheme="majorEastAsia" w:cstheme="majorEastAsia" w:hint="eastAsia"/>
          <w:bCs/>
          <w:color w:val="auto"/>
          <w:szCs w:val="21"/>
          <w:highlight w:val="none"/>
        </w:rPr>
        <w:t xml:space="preserve">    投标报价得分=(评标基准价／投标报价)×100 </w:t>
      </w:r>
    </w:p>
    <w:p>
      <w:pPr>
        <w:spacing w:line="430" w:lineRule="exact"/>
        <w:ind w:firstLine="420" w:firstLineChars="2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 xml:space="preserve">    评标过程中，不得去掉报价中的最高报价和最低报价。 </w:t>
      </w:r>
    </w:p>
    <w:p>
      <w:pPr>
        <w:spacing w:line="430" w:lineRule="exact"/>
        <w:ind w:firstLine="420" w:firstLineChars="2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（2）评标总得分：</w:t>
      </w:r>
    </w:p>
    <w:p>
      <w:pPr>
        <w:spacing w:line="430" w:lineRule="exact"/>
        <w:ind w:firstLine="420" w:firstLineChars="200"/>
        <w:rPr>
          <w:rFonts w:asciiTheme="majorEastAsia" w:eastAsiaTheme="majorEastAsia" w:hAnsiTheme="majorEastAsia" w:cstheme="majorEastAsia" w:hint="eastAsia"/>
          <w:bCs/>
          <w:color w:val="auto"/>
          <w:szCs w:val="21"/>
          <w:highlight w:val="none"/>
          <w:lang w:eastAsia="zh-CN"/>
        </w:rPr>
      </w:pPr>
      <w:r>
        <w:rPr>
          <w:rFonts w:asciiTheme="majorEastAsia" w:eastAsiaTheme="majorEastAsia" w:hAnsiTheme="majorEastAsia" w:cstheme="majorEastAsia" w:hint="eastAsia"/>
          <w:bCs/>
          <w:color w:val="auto"/>
          <w:szCs w:val="21"/>
          <w:highlight w:val="none"/>
        </w:rPr>
        <w:t xml:space="preserve">评标总得分＝F1×A1＋F2×A2＋……＋Fn×An </w:t>
      </w:r>
    </w:p>
    <w:p>
      <w:pPr>
        <w:spacing w:line="430" w:lineRule="exact"/>
        <w:ind w:firstLine="420" w:firstLineChars="200"/>
        <w:rPr>
          <w:rFonts w:asciiTheme="majorEastAsia" w:eastAsiaTheme="majorEastAsia" w:hAnsiTheme="majorEastAsia" w:cstheme="majorEastAsia" w:hint="eastAsia"/>
          <w:bCs/>
          <w:color w:val="auto"/>
          <w:szCs w:val="21"/>
          <w:highlight w:val="none"/>
          <w:lang w:eastAsia="zh-CN"/>
        </w:rPr>
      </w:pPr>
      <w:r>
        <w:rPr>
          <w:rFonts w:asciiTheme="majorEastAsia" w:eastAsiaTheme="majorEastAsia" w:hAnsiTheme="majorEastAsia" w:cstheme="majorEastAsia" w:hint="eastAsia"/>
          <w:bCs/>
          <w:color w:val="auto"/>
          <w:szCs w:val="21"/>
          <w:highlight w:val="none"/>
        </w:rPr>
        <w:t xml:space="preserve">    F1、F2……Fn分别为各项评审因素的得分； </w:t>
      </w:r>
    </w:p>
    <w:p>
      <w:pPr>
        <w:spacing w:line="430" w:lineRule="exact"/>
        <w:ind w:firstLine="420" w:firstLineChars="2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 xml:space="preserve">    A1、A2、……An 分别为各项评审因素所占的权重(A1＋A2＋……＋An＝1)。</w:t>
      </w:r>
    </w:p>
    <w:p>
      <w:pPr>
        <w:spacing w:line="430" w:lineRule="exact"/>
        <w:ind w:firstLine="420" w:firstLineChars="200"/>
        <w:rPr>
          <w:rFonts w:asciiTheme="majorEastAsia" w:eastAsiaTheme="majorEastAsia" w:hAnsiTheme="majorEastAsia" w:cstheme="majorEastAsia" w:hint="eastAsia"/>
          <w:bCs/>
          <w:color w:val="auto"/>
          <w:szCs w:val="21"/>
          <w:highlight w:val="none"/>
          <w:lang w:eastAsia="zh-CN"/>
        </w:rPr>
      </w:pPr>
      <w:r>
        <w:rPr>
          <w:rFonts w:asciiTheme="majorEastAsia" w:eastAsiaTheme="majorEastAsia" w:hAnsiTheme="majorEastAsia" w:cstheme="majorEastAsia" w:hint="eastAsia"/>
          <w:bCs/>
          <w:color w:val="auto"/>
          <w:szCs w:val="21"/>
          <w:highlight w:val="none"/>
        </w:rPr>
        <w:t>（3）评分标准：详见“四、评分标准”。</w:t>
      </w:r>
    </w:p>
    <w:p>
      <w:pPr>
        <w:spacing w:line="43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bCs/>
          <w:color w:val="auto"/>
          <w:szCs w:val="21"/>
          <w:highlight w:val="none"/>
        </w:rPr>
        <w:t xml:space="preserve">    2、最低</w:t>
      </w:r>
      <w:r>
        <w:rPr>
          <w:rFonts w:asciiTheme="majorEastAsia" w:eastAsiaTheme="majorEastAsia" w:hAnsiTheme="majorEastAsia" w:cstheme="majorEastAsia" w:hint="eastAsia"/>
          <w:color w:val="auto"/>
          <w:szCs w:val="21"/>
          <w:highlight w:val="none"/>
        </w:rPr>
        <w:t>价法：</w:t>
      </w:r>
      <w:r>
        <w:rPr>
          <w:rFonts w:asciiTheme="majorEastAsia" w:eastAsiaTheme="majorEastAsia" w:hAnsiTheme="majorEastAsia" w:cstheme="majorEastAsia" w:hint="eastAsia"/>
          <w:bCs/>
          <w:color w:val="auto"/>
          <w:szCs w:val="21"/>
          <w:highlight w:val="none"/>
        </w:rPr>
        <w:t>详见“第二册 通用条款”第七章</w:t>
      </w:r>
      <w:r>
        <w:rPr>
          <w:rFonts w:asciiTheme="majorEastAsia" w:eastAsiaTheme="majorEastAsia" w:hAnsiTheme="majorEastAsia" w:cstheme="majorEastAsia" w:hint="eastAsia"/>
          <w:color w:val="auto"/>
          <w:szCs w:val="21"/>
          <w:highlight w:val="none"/>
        </w:rPr>
        <w:t>。</w:t>
      </w:r>
    </w:p>
    <w:p>
      <w:pPr>
        <w:spacing w:line="430" w:lineRule="exact"/>
        <w:ind w:firstLine="412" w:firstLineChars="196"/>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b/>
          <w:bCs/>
          <w:color w:val="auto"/>
          <w:highlight w:val="none"/>
        </w:rPr>
        <w:t>二、享受优惠政策的主体及价格扣除比例</w:t>
      </w:r>
    </w:p>
    <w:p>
      <w:pPr>
        <w:spacing w:line="43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1、小型企业、微型企业、监狱企业、残疾人福利性单位承接服务，对其价格给予10%的扣除，用扣除后的价格参与评审。满足多项优惠政策的企业，不重复享受多项价格扣除政策。</w:t>
      </w:r>
    </w:p>
    <w:p>
      <w:pPr>
        <w:spacing w:line="43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2、优惠主体资格的认定资料为《中小企业声明函》《残疾人福利性单位声明函》《监狱企业声明函》等承诺性质的资料（声明函样式见“第三章 投标文件格式、附件”）；监狱企业如需享受优惠政策，除上述资料外，还须提供省级以上监狱管理局、戒毒管理局出具的监狱企业证明文件。</w:t>
      </w:r>
    </w:p>
    <w:p>
      <w:pPr>
        <w:spacing w:line="430" w:lineRule="exact"/>
        <w:ind w:firstLine="412" w:firstLineChars="196"/>
        <w:rPr>
          <w:rFonts w:asciiTheme="majorEastAsia" w:eastAsiaTheme="majorEastAsia" w:hAnsiTheme="majorEastAsia" w:cstheme="majorEastAsia"/>
          <w:b/>
          <w:bCs/>
          <w:color w:val="auto"/>
          <w:highlight w:val="none"/>
        </w:rPr>
      </w:pPr>
      <w:r>
        <w:rPr>
          <w:rFonts w:asciiTheme="majorEastAsia" w:eastAsiaTheme="majorEastAsia" w:hAnsiTheme="majorEastAsia" w:cstheme="majorEastAsia" w:hint="eastAsia"/>
          <w:b/>
          <w:bCs/>
          <w:color w:val="auto"/>
          <w:highlight w:val="none"/>
        </w:rPr>
        <w:t>三、失信供应商的价格上浮</w:t>
      </w:r>
    </w:p>
    <w:p>
      <w:pPr>
        <w:spacing w:line="43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采取价格评比法（比如最低价法）的项目，投标人</w:t>
      </w:r>
      <w:r>
        <w:rPr>
          <w:rFonts w:asciiTheme="majorEastAsia" w:eastAsiaTheme="majorEastAsia" w:hAnsiTheme="majorEastAsia" w:cstheme="majorEastAsia" w:hint="eastAsia"/>
          <w:color w:val="auto"/>
          <w:szCs w:val="21"/>
          <w:highlight w:val="none"/>
        </w:rPr>
        <w:t>在参与政府采购活动中存在诚信相关问题且在主</w:t>
      </w:r>
      <w:r>
        <w:rPr>
          <w:rFonts w:asciiTheme="majorEastAsia" w:eastAsiaTheme="majorEastAsia" w:hAnsiTheme="majorEastAsia" w:cstheme="majorEastAsia" w:hint="eastAsia"/>
          <w:color w:val="auto"/>
          <w:highlight w:val="none"/>
        </w:rPr>
        <w:t>管部门相关处理措施实施期限内的，在该企业投标报价的基础上上浮10%后参与价格评比。失信供应商符合优惠主体资格的，价格扣除和价格上浮一并执行。</w:t>
      </w:r>
    </w:p>
    <w:p>
      <w:pPr>
        <w:spacing w:line="430" w:lineRule="exact"/>
        <w:ind w:firstLine="412" w:firstLineChars="196"/>
        <w:rPr>
          <w:rFonts w:asciiTheme="majorEastAsia" w:eastAsiaTheme="majorEastAsia" w:hAnsiTheme="majorEastAsia" w:cstheme="majorEastAsia"/>
          <w:b/>
          <w:bCs/>
          <w:color w:val="auto"/>
          <w:highlight w:val="none"/>
        </w:rPr>
      </w:pPr>
      <w:r>
        <w:rPr>
          <w:rFonts w:asciiTheme="majorEastAsia" w:eastAsiaTheme="majorEastAsia" w:hAnsiTheme="majorEastAsia" w:cstheme="majorEastAsia" w:hint="eastAsia"/>
          <w:b/>
          <w:bCs/>
          <w:color w:val="auto"/>
          <w:highlight w:val="none"/>
        </w:rPr>
        <w:t>四、评分标准</w:t>
      </w:r>
    </w:p>
    <w:tbl>
      <w:tblPr>
        <w:tblStyle w:val="TableNormal"/>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42"/>
        <w:gridCol w:w="684"/>
        <w:gridCol w:w="1097"/>
        <w:gridCol w:w="1020"/>
        <w:gridCol w:w="4966"/>
      </w:tblGrid>
      <w:tr>
        <w:tblPrEx>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642"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序号</w:t>
            </w:r>
          </w:p>
        </w:tc>
        <w:tc>
          <w:tcPr>
            <w:tcW w:w="2801" w:type="dxa"/>
            <w:gridSpan w:val="3"/>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评分项</w:t>
            </w:r>
          </w:p>
        </w:tc>
        <w:tc>
          <w:tcPr>
            <w:tcW w:w="4966"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hint="eastAsia"/>
                <w:b/>
                <w:bCs/>
                <w:color w:val="auto"/>
                <w:szCs w:val="21"/>
                <w:highlight w:val="none"/>
                <w:lang w:eastAsia="zh-CN"/>
              </w:rPr>
            </w:pPr>
            <w:r>
              <w:rPr>
                <w:rFonts w:asciiTheme="majorEastAsia" w:eastAsiaTheme="majorEastAsia" w:hAnsiTheme="majorEastAsia" w:cstheme="majorEastAsia" w:hint="eastAsia"/>
                <w:b/>
                <w:bCs/>
                <w:color w:val="auto"/>
                <w:szCs w:val="21"/>
                <w:highlight w:val="none"/>
              </w:rPr>
              <w:t>权重</w:t>
            </w:r>
            <w:r>
              <w:rPr>
                <w:rFonts w:asciiTheme="majorEastAsia" w:eastAsiaTheme="majorEastAsia" w:hAnsiTheme="majorEastAsia" w:cstheme="majorEastAsia" w:hint="eastAsia"/>
                <w:b/>
                <w:bCs/>
                <w:color w:val="auto"/>
                <w:szCs w:val="21"/>
                <w:highlight w:val="none"/>
                <w:lang w:eastAsia="zh-CN"/>
              </w:rPr>
              <w:t>（</w:t>
            </w:r>
            <w:r>
              <w:rPr>
                <w:rFonts w:asciiTheme="majorEastAsia" w:eastAsiaTheme="majorEastAsia" w:hAnsiTheme="majorEastAsia" w:cstheme="majorEastAsia" w:hint="eastAsia"/>
                <w:b/>
                <w:bCs/>
                <w:color w:val="auto"/>
                <w:szCs w:val="21"/>
                <w:highlight w:val="none"/>
                <w:lang w:val="en-US" w:eastAsia="zh-CN"/>
              </w:rPr>
              <w:t>%</w:t>
            </w:r>
            <w:r>
              <w:rPr>
                <w:rFonts w:asciiTheme="majorEastAsia" w:eastAsiaTheme="majorEastAsia" w:hAnsiTheme="majorEastAsia" w:cstheme="majorEastAsia" w:hint="eastAsia"/>
                <w:b/>
                <w:bCs/>
                <w:color w:val="auto"/>
                <w:szCs w:val="21"/>
                <w:highlight w:val="none"/>
                <w:lang w:eastAsia="zh-CN"/>
              </w:rPr>
              <w:t>）</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1</w:t>
            </w:r>
          </w:p>
        </w:tc>
        <w:tc>
          <w:tcPr>
            <w:tcW w:w="2801" w:type="dxa"/>
            <w:gridSpan w:val="3"/>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价格</w:t>
            </w:r>
          </w:p>
        </w:tc>
        <w:tc>
          <w:tcPr>
            <w:tcW w:w="4966"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hint="default"/>
                <w:b/>
                <w:bCs/>
                <w:color w:val="auto"/>
                <w:szCs w:val="21"/>
                <w:highlight w:val="none"/>
                <w:lang w:val="en-US" w:eastAsia="zh-CN"/>
              </w:rPr>
            </w:pPr>
            <w:r>
              <w:rPr>
                <w:rFonts w:asciiTheme="majorEastAsia" w:eastAsiaTheme="majorEastAsia" w:hAnsiTheme="majorEastAsia" w:cstheme="majorEastAsia" w:hint="eastAsia"/>
                <w:b/>
                <w:bCs/>
                <w:color w:val="auto"/>
                <w:szCs w:val="21"/>
                <w:highlight w:val="none"/>
                <w:lang w:val="en-US" w:eastAsia="zh-CN"/>
              </w:rPr>
              <w:t>10</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2</w:t>
            </w:r>
          </w:p>
        </w:tc>
        <w:tc>
          <w:tcPr>
            <w:tcW w:w="2801" w:type="dxa"/>
            <w:gridSpan w:val="3"/>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技术部分</w:t>
            </w:r>
          </w:p>
        </w:tc>
        <w:tc>
          <w:tcPr>
            <w:tcW w:w="4966"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hint="default"/>
                <w:b/>
                <w:bCs/>
                <w:color w:val="auto"/>
                <w:szCs w:val="21"/>
                <w:highlight w:val="none"/>
                <w:lang w:val="en-US" w:eastAsia="zh-CN"/>
              </w:rPr>
            </w:pPr>
            <w:r>
              <w:rPr>
                <w:rFonts w:asciiTheme="majorEastAsia" w:eastAsiaTheme="majorEastAsia" w:hAnsiTheme="majorEastAsia" w:cstheme="majorEastAsia" w:hint="eastAsia"/>
                <w:b/>
                <w:bCs/>
                <w:color w:val="auto"/>
                <w:szCs w:val="21"/>
                <w:highlight w:val="none"/>
                <w:lang w:val="en-US" w:eastAsia="zh-CN"/>
              </w:rPr>
              <w:t>45</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val="restart"/>
            <w:tcBorders>
              <w:top w:val="single" w:sz="4" w:space="0" w:color="auto"/>
              <w:left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序号</w:t>
            </w:r>
          </w:p>
        </w:tc>
        <w:tc>
          <w:tcPr>
            <w:tcW w:w="1097"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内容</w:t>
            </w:r>
          </w:p>
        </w:tc>
        <w:tc>
          <w:tcPr>
            <w:tcW w:w="1020"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hint="eastAsia"/>
                <w:color w:val="auto"/>
                <w:szCs w:val="21"/>
                <w:highlight w:val="none"/>
                <w:lang w:eastAsia="zh-CN"/>
              </w:rPr>
            </w:pPr>
            <w:r>
              <w:rPr>
                <w:rFonts w:asciiTheme="majorEastAsia" w:eastAsiaTheme="majorEastAsia" w:hAnsiTheme="majorEastAsia" w:cstheme="majorEastAsia" w:hint="eastAsia"/>
                <w:color w:val="auto"/>
                <w:szCs w:val="21"/>
                <w:highlight w:val="none"/>
              </w:rPr>
              <w:t>权重</w:t>
            </w:r>
            <w:r>
              <w:rPr>
                <w:rFonts w:asciiTheme="majorEastAsia" w:eastAsiaTheme="majorEastAsia" w:hAnsiTheme="majorEastAsia" w:cstheme="majorEastAsia" w:hint="eastAsia"/>
                <w:color w:val="auto"/>
                <w:szCs w:val="21"/>
                <w:highlight w:val="none"/>
                <w:lang w:eastAsia="zh-CN"/>
              </w:rPr>
              <w:t>（</w:t>
            </w:r>
            <w:r>
              <w:rPr>
                <w:rFonts w:asciiTheme="majorEastAsia" w:eastAsiaTheme="majorEastAsia" w:hAnsiTheme="majorEastAsia" w:cstheme="majorEastAsia" w:hint="eastAsia"/>
                <w:color w:val="auto"/>
                <w:szCs w:val="21"/>
                <w:highlight w:val="none"/>
                <w:lang w:val="en-US" w:eastAsia="zh-CN"/>
              </w:rPr>
              <w:t>%</w:t>
            </w:r>
            <w:r>
              <w:rPr>
                <w:rFonts w:asciiTheme="majorEastAsia" w:eastAsiaTheme="majorEastAsia" w:hAnsiTheme="majorEastAsia" w:cstheme="majorEastAsia" w:hint="eastAsia"/>
                <w:color w:val="auto"/>
                <w:szCs w:val="21"/>
                <w:highlight w:val="none"/>
                <w:lang w:eastAsia="zh-CN"/>
              </w:rPr>
              <w:t>）</w:t>
            </w:r>
          </w:p>
        </w:tc>
        <w:tc>
          <w:tcPr>
            <w:tcW w:w="4966"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评分准则</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w:t>
            </w:r>
          </w:p>
        </w:tc>
        <w:tc>
          <w:tcPr>
            <w:tcW w:w="1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实施方案</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15</w:t>
            </w:r>
          </w:p>
        </w:tc>
        <w:tc>
          <w:tcPr>
            <w:tcW w:w="4966"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b/>
                <w:bCs/>
                <w:color w:val="auto"/>
                <w:szCs w:val="21"/>
                <w:highlight w:val="none"/>
              </w:rPr>
            </w:pPr>
            <w:r>
              <w:rPr>
                <w:rFonts w:ascii="宋体" w:hAnsi="宋体" w:cs="宋体" w:hint="eastAsia"/>
                <w:b/>
                <w:bCs/>
                <w:color w:val="auto"/>
                <w:szCs w:val="21"/>
                <w:highlight w:val="none"/>
                <w:lang w:eastAsia="zh-CN"/>
              </w:rPr>
              <w:t>（一）</w:t>
            </w:r>
            <w:r>
              <w:rPr>
                <w:rFonts w:ascii="宋体" w:hAnsi="宋体" w:cs="宋体" w:hint="eastAsia"/>
                <w:b/>
                <w:bCs/>
                <w:color w:val="auto"/>
                <w:szCs w:val="21"/>
                <w:highlight w:val="none"/>
              </w:rPr>
              <w:t>评审内容：</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hint="eastAsia"/>
                <w:color w:val="auto"/>
                <w:szCs w:val="21"/>
                <w:highlight w:val="none"/>
                <w:lang w:eastAsia="zh-CN"/>
              </w:rPr>
            </w:pPr>
            <w:r>
              <w:rPr>
                <w:rFonts w:ascii="宋体" w:hAnsi="宋体" w:cs="宋体" w:hint="eastAsia"/>
                <w:color w:val="auto"/>
                <w:szCs w:val="21"/>
                <w:highlight w:val="none"/>
                <w:lang w:eastAsia="zh-CN"/>
              </w:rPr>
              <w:t>针对本项目制定实施方案，包括但不限于以下内容：</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（1）提出深圳市残疾人联合会抖音及视频号平台的运营方案，要求目标明确、思路清晰，提出明确项目周期内月度、年度计划；</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（2）对深圳残疾人网、微信公众号、微博的策划、采编有清晰的认知，按要求完成相应工作；</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（3）制作主题漫画需对深圳市残疾人联合会工作有深刻的了解，内容制作要立意深刻、形式新颖、符合大众口味。通过“深圳市残疾人联合会 ”微信公众号、视频号、抖音号等进行传播，影响力覆盖百万人群；</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（4）能完全掌握残健共享共融的工作重点，对营造残健共享共融的良好社会环境、提升市民对残疾人群体的认知度、激发社会民众对创建无障碍城市的参与度提出针对性的活动实施方案；</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（5）残联主题活动现场直播需通过知名网络直播平台进行品牌推广，影响力覆盖百万人群；</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（6）短视频需对残疾人服务工作和无障碍城市建设情况等进行宣传，并提供投放策略清晰、受众定位明确的推广方案，确保传播效果，影响力覆盖百万人群；</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7）根据深圳市残疾人联合会工作特点和人群受众，提供主题准确、投放策略清晰、受众定位明确的推广方案；对重大节日有计划、有节点地结合大数据分析进行投放，包括区域定向和精准的人群画像，达到百万级受众精准触达；对短视频平台进行流量扶持，助力短视频的传播力；活动通过知名新闻App、知名互联网广告App专题推广宣传；</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hint="eastAsia"/>
                <w:b/>
                <w:bCs/>
                <w:color w:val="auto"/>
                <w:szCs w:val="21"/>
                <w:highlight w:val="none"/>
              </w:rPr>
            </w:pPr>
            <w:r>
              <w:rPr>
                <w:rFonts w:ascii="宋体" w:hAnsi="宋体" w:cs="宋体" w:hint="eastAsia"/>
                <w:b/>
                <w:bCs/>
                <w:color w:val="auto"/>
                <w:szCs w:val="21"/>
                <w:highlight w:val="none"/>
                <w:lang w:eastAsia="zh-CN"/>
              </w:rPr>
              <w:t>（二）</w:t>
            </w:r>
            <w:r>
              <w:rPr>
                <w:rFonts w:ascii="宋体" w:hAnsi="宋体" w:cs="宋体" w:hint="eastAsia"/>
                <w:b/>
                <w:bCs/>
                <w:color w:val="auto"/>
                <w:szCs w:val="21"/>
                <w:highlight w:val="none"/>
              </w:rPr>
              <w:t>评分标准：</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b/>
                <w:i/>
                <w:color w:val="auto"/>
                <w:szCs w:val="21"/>
                <w:highlight w:val="none"/>
                <w:u w:val="single"/>
              </w:rPr>
            </w:pPr>
            <w:r>
              <w:rPr>
                <w:rFonts w:ascii="宋体" w:hAnsi="宋体" w:cs="宋体" w:hint="eastAsia"/>
                <w:b w:val="0"/>
                <w:bCs w:val="0"/>
                <w:color w:val="auto"/>
                <w:szCs w:val="21"/>
                <w:highlight w:val="none"/>
                <w:lang w:eastAsia="zh-CN"/>
              </w:rPr>
              <w:t>每满足以上任意一点得</w:t>
            </w:r>
            <w:r>
              <w:rPr>
                <w:rFonts w:ascii="宋体" w:hAnsi="宋体" w:cs="宋体" w:hint="eastAsia"/>
                <w:b w:val="0"/>
                <w:bCs w:val="0"/>
                <w:color w:val="auto"/>
                <w:szCs w:val="21"/>
                <w:highlight w:val="none"/>
                <w:lang w:val="en-US" w:eastAsia="zh-CN"/>
              </w:rPr>
              <w:t>10分，最高得70分；</w:t>
            </w:r>
            <w:r>
              <w:rPr>
                <w:rFonts w:ascii="宋体" w:hAnsi="宋体" w:cs="宋体" w:hint="eastAsia"/>
                <w:b w:val="0"/>
                <w:bCs w:val="0"/>
                <w:color w:val="auto"/>
                <w:szCs w:val="21"/>
                <w:highlight w:val="none"/>
                <w:lang w:eastAsia="zh-CN"/>
              </w:rPr>
              <w:t>在此</w:t>
            </w:r>
            <w:r>
              <w:rPr>
                <w:rFonts w:ascii="宋体" w:hAnsi="宋体" w:cs="宋体" w:hint="eastAsia"/>
                <w:color w:val="auto"/>
                <w:szCs w:val="21"/>
                <w:highlight w:val="none"/>
              </w:rPr>
              <w:t>基础上，</w:t>
            </w:r>
            <w:r>
              <w:rPr>
                <w:rFonts w:ascii="宋体" w:hAnsi="宋体" w:cs="宋体" w:hint="eastAsia"/>
                <w:color w:val="auto"/>
                <w:szCs w:val="21"/>
                <w:highlight w:val="none"/>
                <w:lang w:eastAsia="zh-CN"/>
              </w:rPr>
              <w:t>专家根据各供应商的响应情况进行评价：</w:t>
            </w:r>
            <w:r>
              <w:rPr>
                <w:rFonts w:ascii="宋体" w:hAnsi="宋体" w:cs="宋体" w:hint="eastAsia"/>
                <w:color w:val="auto"/>
                <w:szCs w:val="21"/>
                <w:highlight w:val="none"/>
              </w:rPr>
              <w:t>评价为优</w:t>
            </w:r>
            <w:r>
              <w:rPr>
                <w:rFonts w:ascii="宋体" w:hAnsi="宋体" w:cs="宋体" w:hint="eastAsia"/>
                <w:color w:val="auto"/>
                <w:szCs w:val="21"/>
                <w:highlight w:val="none"/>
                <w:lang w:val="en-US" w:eastAsia="zh-CN"/>
              </w:rPr>
              <w:t>【</w:t>
            </w:r>
            <w:r>
              <w:rPr>
                <w:rFonts w:ascii="宋体" w:hAnsi="宋体" w:cs="宋体" w:hint="eastAsia"/>
                <w:color w:val="auto"/>
                <w:szCs w:val="21"/>
                <w:highlight w:val="none"/>
              </w:rPr>
              <w:t>对项目实施的需求和目标理解全面、科学合理，根据残疾人生活与残联工作的特点和项目要求，规划项目内容、制定投播计划，提出完整实施方案</w:t>
            </w:r>
            <w:r>
              <w:rPr>
                <w:rFonts w:ascii="宋体" w:hAnsi="宋体" w:cs="宋体" w:hint="eastAsia"/>
                <w:color w:val="auto"/>
                <w:szCs w:val="21"/>
                <w:highlight w:val="none"/>
                <w:lang w:val="en-US" w:eastAsia="zh-CN"/>
              </w:rPr>
              <w:t>】</w:t>
            </w:r>
            <w:r>
              <w:rPr>
                <w:rFonts w:ascii="宋体" w:hAnsi="宋体" w:cs="宋体" w:hint="eastAsia"/>
                <w:color w:val="auto"/>
                <w:szCs w:val="21"/>
                <w:highlight w:val="none"/>
              </w:rPr>
              <w:t>得</w:t>
            </w:r>
            <w:r>
              <w:rPr>
                <w:rFonts w:ascii="宋体" w:hAnsi="宋体" w:cs="宋体" w:hint="eastAsia"/>
                <w:color w:val="auto"/>
                <w:szCs w:val="21"/>
                <w:highlight w:val="none"/>
                <w:lang w:val="en-US" w:eastAsia="zh-CN"/>
              </w:rPr>
              <w:t>30</w:t>
            </w:r>
            <w:r>
              <w:rPr>
                <w:rFonts w:ascii="宋体" w:hAnsi="宋体" w:cs="宋体" w:hint="eastAsia"/>
                <w:color w:val="auto"/>
                <w:szCs w:val="21"/>
                <w:highlight w:val="none"/>
              </w:rPr>
              <w:t>分</w:t>
            </w:r>
            <w:r>
              <w:rPr>
                <w:rFonts w:ascii="宋体" w:hAnsi="宋体" w:cs="宋体" w:hint="eastAsia"/>
                <w:color w:val="auto"/>
                <w:szCs w:val="21"/>
                <w:highlight w:val="none"/>
                <w:lang w:eastAsia="zh-CN"/>
              </w:rPr>
              <w:t>；评价为</w:t>
            </w:r>
            <w:r>
              <w:rPr>
                <w:rFonts w:ascii="宋体" w:hAnsi="宋体" w:cs="宋体" w:hint="eastAsia"/>
                <w:color w:val="auto"/>
                <w:szCs w:val="21"/>
                <w:highlight w:val="none"/>
              </w:rPr>
              <w:t>良</w:t>
            </w:r>
            <w:r>
              <w:rPr>
                <w:rFonts w:ascii="宋体" w:hAnsi="宋体" w:cs="宋体" w:hint="eastAsia"/>
                <w:color w:val="auto"/>
                <w:szCs w:val="21"/>
                <w:highlight w:val="none"/>
                <w:lang w:eastAsia="zh-CN"/>
              </w:rPr>
              <w:t>【</w:t>
            </w:r>
            <w:r>
              <w:rPr>
                <w:rFonts w:ascii="宋体" w:hAnsi="宋体" w:cs="宋体" w:hint="eastAsia"/>
                <w:color w:val="auto"/>
                <w:szCs w:val="21"/>
                <w:highlight w:val="none"/>
              </w:rPr>
              <w:t>对项目实施的需求和目标理解</w:t>
            </w:r>
            <w:r>
              <w:rPr>
                <w:rFonts w:ascii="宋体" w:hAnsi="宋体" w:cs="宋体" w:hint="eastAsia"/>
                <w:color w:val="auto"/>
                <w:szCs w:val="21"/>
                <w:highlight w:val="none"/>
                <w:lang w:eastAsia="zh-CN"/>
              </w:rPr>
              <w:t>较</w:t>
            </w:r>
            <w:r>
              <w:rPr>
                <w:rFonts w:ascii="宋体" w:hAnsi="宋体" w:cs="宋体" w:hint="eastAsia"/>
                <w:color w:val="auto"/>
                <w:szCs w:val="21"/>
                <w:highlight w:val="none"/>
              </w:rPr>
              <w:t>全面、</w:t>
            </w:r>
            <w:r>
              <w:rPr>
                <w:rFonts w:ascii="宋体" w:hAnsi="宋体" w:cs="宋体" w:hint="eastAsia"/>
                <w:color w:val="auto"/>
                <w:szCs w:val="21"/>
                <w:highlight w:val="none"/>
                <w:lang w:eastAsia="zh-CN"/>
              </w:rPr>
              <w:t>较</w:t>
            </w:r>
            <w:r>
              <w:rPr>
                <w:rFonts w:ascii="宋体" w:hAnsi="宋体" w:cs="宋体" w:hint="eastAsia"/>
                <w:color w:val="auto"/>
                <w:szCs w:val="21"/>
                <w:highlight w:val="none"/>
              </w:rPr>
              <w:t>科学合理，根据残疾人生活与残联工作的特点和项目要求，规划项目内容、制定投播计划，提出</w:t>
            </w:r>
            <w:r>
              <w:rPr>
                <w:rFonts w:ascii="宋体" w:hAnsi="宋体" w:cs="宋体" w:hint="eastAsia"/>
                <w:color w:val="auto"/>
                <w:szCs w:val="21"/>
                <w:highlight w:val="none"/>
                <w:lang w:eastAsia="zh-CN"/>
              </w:rPr>
              <w:t>较</w:t>
            </w:r>
            <w:r>
              <w:rPr>
                <w:rFonts w:ascii="宋体" w:hAnsi="宋体" w:cs="宋体" w:hint="eastAsia"/>
                <w:color w:val="auto"/>
                <w:szCs w:val="21"/>
                <w:highlight w:val="none"/>
              </w:rPr>
              <w:t>完整实施方案</w:t>
            </w:r>
            <w:r>
              <w:rPr>
                <w:rFonts w:ascii="宋体" w:hAnsi="宋体" w:cs="宋体" w:hint="eastAsia"/>
                <w:color w:val="auto"/>
                <w:szCs w:val="21"/>
                <w:highlight w:val="none"/>
                <w:lang w:eastAsia="zh-CN"/>
              </w:rPr>
              <w:t>】</w:t>
            </w:r>
            <w:r>
              <w:rPr>
                <w:rFonts w:ascii="宋体" w:hAnsi="宋体" w:cs="宋体" w:hint="eastAsia"/>
                <w:color w:val="auto"/>
                <w:szCs w:val="21"/>
                <w:highlight w:val="none"/>
              </w:rPr>
              <w:t>得</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0分；评价为中</w:t>
            </w:r>
            <w:r>
              <w:rPr>
                <w:rFonts w:ascii="宋体" w:hAnsi="宋体" w:cs="宋体" w:hint="eastAsia"/>
                <w:color w:val="auto"/>
                <w:szCs w:val="21"/>
                <w:highlight w:val="none"/>
                <w:lang w:eastAsia="zh-CN"/>
              </w:rPr>
              <w:t>【</w:t>
            </w:r>
            <w:r>
              <w:rPr>
                <w:rFonts w:ascii="宋体" w:hAnsi="宋体" w:cs="宋体" w:hint="eastAsia"/>
                <w:color w:val="auto"/>
                <w:szCs w:val="21"/>
                <w:highlight w:val="none"/>
              </w:rPr>
              <w:t>对项目实施的需求和目标理解全面</w:t>
            </w:r>
            <w:r>
              <w:rPr>
                <w:rFonts w:ascii="宋体" w:hAnsi="宋体" w:cs="宋体" w:hint="eastAsia"/>
                <w:color w:val="auto"/>
                <w:szCs w:val="21"/>
                <w:highlight w:val="none"/>
                <w:lang w:eastAsia="zh-CN"/>
              </w:rPr>
              <w:t>性、</w:t>
            </w:r>
            <w:r>
              <w:rPr>
                <w:rFonts w:ascii="宋体" w:hAnsi="宋体" w:cs="宋体" w:hint="eastAsia"/>
                <w:color w:val="auto"/>
                <w:szCs w:val="21"/>
                <w:highlight w:val="none"/>
              </w:rPr>
              <w:t>科学合理</w:t>
            </w:r>
            <w:r>
              <w:rPr>
                <w:rFonts w:ascii="宋体" w:hAnsi="宋体" w:cs="宋体" w:hint="eastAsia"/>
                <w:color w:val="auto"/>
                <w:szCs w:val="21"/>
                <w:highlight w:val="none"/>
                <w:lang w:eastAsia="zh-CN"/>
              </w:rPr>
              <w:t>性一般</w:t>
            </w:r>
            <w:r>
              <w:rPr>
                <w:rFonts w:ascii="宋体" w:hAnsi="宋体" w:cs="宋体" w:hint="eastAsia"/>
                <w:color w:val="auto"/>
                <w:szCs w:val="21"/>
                <w:highlight w:val="none"/>
              </w:rPr>
              <w:t>，根据残疾人生活与残联工作的特点和项目要求，规划项目内容、制定投播计划，提出实施方案</w:t>
            </w:r>
            <w:r>
              <w:rPr>
                <w:rFonts w:ascii="宋体" w:hAnsi="宋体" w:cs="宋体" w:hint="eastAsia"/>
                <w:color w:val="auto"/>
                <w:szCs w:val="21"/>
                <w:highlight w:val="none"/>
                <w:lang w:eastAsia="zh-CN"/>
              </w:rPr>
              <w:t>的</w:t>
            </w:r>
            <w:r>
              <w:rPr>
                <w:rFonts w:ascii="宋体" w:hAnsi="宋体" w:cs="宋体" w:hint="eastAsia"/>
                <w:color w:val="auto"/>
                <w:szCs w:val="21"/>
                <w:highlight w:val="none"/>
              </w:rPr>
              <w:t>完整</w:t>
            </w:r>
            <w:r>
              <w:rPr>
                <w:rFonts w:ascii="宋体" w:hAnsi="宋体" w:cs="宋体" w:hint="eastAsia"/>
                <w:color w:val="auto"/>
                <w:szCs w:val="21"/>
                <w:highlight w:val="none"/>
                <w:lang w:eastAsia="zh-CN"/>
              </w:rPr>
              <w:t>性一般】</w:t>
            </w:r>
            <w:r>
              <w:rPr>
                <w:rFonts w:ascii="宋体" w:hAnsi="宋体" w:cs="宋体" w:hint="eastAsia"/>
                <w:color w:val="auto"/>
                <w:szCs w:val="21"/>
                <w:highlight w:val="none"/>
              </w:rPr>
              <w:t>得</w:t>
            </w:r>
            <w:r>
              <w:rPr>
                <w:rFonts w:ascii="宋体" w:hAnsi="宋体" w:cs="宋体" w:hint="eastAsia"/>
                <w:color w:val="auto"/>
                <w:szCs w:val="21"/>
                <w:highlight w:val="none"/>
                <w:lang w:val="en-US" w:eastAsia="zh-CN"/>
              </w:rPr>
              <w:t>1</w:t>
            </w:r>
            <w:r>
              <w:rPr>
                <w:rFonts w:ascii="宋体" w:hAnsi="宋体" w:cs="宋体" w:hint="eastAsia"/>
                <w:color w:val="auto"/>
                <w:szCs w:val="21"/>
                <w:highlight w:val="none"/>
              </w:rPr>
              <w:t>0分；评价为差</w:t>
            </w:r>
            <w:r>
              <w:rPr>
                <w:rFonts w:ascii="宋体" w:hAnsi="宋体" w:cs="宋体" w:hint="eastAsia"/>
                <w:color w:val="auto"/>
                <w:szCs w:val="21"/>
                <w:highlight w:val="none"/>
                <w:lang w:eastAsia="zh-CN"/>
              </w:rPr>
              <w:t>【</w:t>
            </w:r>
            <w:r>
              <w:rPr>
                <w:rFonts w:ascii="宋体" w:hAnsi="宋体" w:cs="宋体" w:hint="eastAsia"/>
                <w:color w:val="auto"/>
                <w:szCs w:val="21"/>
                <w:highlight w:val="none"/>
              </w:rPr>
              <w:t>对项目实施的需求和目标理解</w:t>
            </w:r>
            <w:r>
              <w:rPr>
                <w:rFonts w:ascii="宋体" w:hAnsi="宋体" w:cs="宋体" w:hint="eastAsia"/>
                <w:color w:val="auto"/>
                <w:szCs w:val="21"/>
                <w:highlight w:val="none"/>
                <w:lang w:eastAsia="zh-CN"/>
              </w:rPr>
              <w:t>不</w:t>
            </w:r>
            <w:r>
              <w:rPr>
                <w:rFonts w:ascii="宋体" w:hAnsi="宋体" w:cs="宋体" w:hint="eastAsia"/>
                <w:color w:val="auto"/>
                <w:szCs w:val="21"/>
                <w:highlight w:val="none"/>
              </w:rPr>
              <w:t>全面</w:t>
            </w:r>
            <w:r>
              <w:rPr>
                <w:rFonts w:ascii="宋体" w:hAnsi="宋体" w:cs="宋体" w:hint="eastAsia"/>
                <w:color w:val="auto"/>
                <w:szCs w:val="21"/>
                <w:highlight w:val="none"/>
                <w:lang w:eastAsia="zh-CN"/>
              </w:rPr>
              <w:t>、不</w:t>
            </w:r>
            <w:r>
              <w:rPr>
                <w:rFonts w:ascii="宋体" w:hAnsi="宋体" w:cs="宋体" w:hint="eastAsia"/>
                <w:color w:val="auto"/>
                <w:szCs w:val="21"/>
                <w:highlight w:val="none"/>
              </w:rPr>
              <w:t>科学合理</w:t>
            </w:r>
            <w:r>
              <w:rPr>
                <w:rFonts w:ascii="宋体" w:hAnsi="宋体" w:cs="宋体" w:hint="eastAsia"/>
                <w:color w:val="auto"/>
                <w:szCs w:val="21"/>
                <w:highlight w:val="none"/>
                <w:lang w:eastAsia="zh-CN"/>
              </w:rPr>
              <w:t>性</w:t>
            </w:r>
            <w:r>
              <w:rPr>
                <w:rFonts w:ascii="宋体" w:hAnsi="宋体" w:cs="宋体" w:hint="eastAsia"/>
                <w:color w:val="auto"/>
                <w:szCs w:val="21"/>
                <w:highlight w:val="none"/>
              </w:rPr>
              <w:t>，根据残疾人生活与残联工作的特点和项目要求，规划项目内容、制定投播计划，提出实施方案</w:t>
            </w:r>
            <w:r>
              <w:rPr>
                <w:rFonts w:ascii="宋体" w:hAnsi="宋体" w:cs="宋体" w:hint="eastAsia"/>
                <w:color w:val="auto"/>
                <w:szCs w:val="21"/>
                <w:highlight w:val="none"/>
                <w:lang w:eastAsia="zh-CN"/>
              </w:rPr>
              <w:t>不</w:t>
            </w:r>
            <w:r>
              <w:rPr>
                <w:rFonts w:ascii="宋体" w:hAnsi="宋体" w:cs="宋体" w:hint="eastAsia"/>
                <w:color w:val="auto"/>
                <w:szCs w:val="21"/>
                <w:highlight w:val="none"/>
              </w:rPr>
              <w:t>完整</w:t>
            </w:r>
            <w:r>
              <w:rPr>
                <w:rFonts w:ascii="宋体" w:hAnsi="宋体" w:cs="宋体" w:hint="eastAsia"/>
                <w:color w:val="auto"/>
                <w:szCs w:val="21"/>
                <w:highlight w:val="none"/>
                <w:lang w:eastAsia="zh-CN"/>
              </w:rPr>
              <w:t>】</w:t>
            </w:r>
            <w:r>
              <w:rPr>
                <w:rFonts w:ascii="宋体" w:hAnsi="宋体" w:cs="宋体" w:hint="eastAsia"/>
                <w:color w:val="auto"/>
                <w:szCs w:val="21"/>
                <w:highlight w:val="none"/>
              </w:rPr>
              <w:t>不得分。</w:t>
            </w:r>
            <w:r>
              <w:rPr>
                <w:rFonts w:ascii="宋体" w:eastAsia="宋体" w:hAnsi="宋体" w:cs="宋体" w:hint="eastAsia"/>
                <w:color w:val="auto"/>
                <w:sz w:val="21"/>
                <w:szCs w:val="21"/>
                <w:highlight w:val="none"/>
              </w:rPr>
              <w:t>如果评审为差，要求专家书面说明理由，并记录在档。</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w:t>
            </w:r>
          </w:p>
        </w:tc>
        <w:tc>
          <w:tcPr>
            <w:tcW w:w="1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项目重点难点分析、应对措施及相关的合理化建议</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15</w:t>
            </w:r>
          </w:p>
        </w:tc>
        <w:tc>
          <w:tcPr>
            <w:tcW w:w="4966"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b/>
                <w:bCs/>
                <w:color w:val="auto"/>
                <w:szCs w:val="21"/>
                <w:highlight w:val="none"/>
              </w:rPr>
            </w:pPr>
            <w:r>
              <w:rPr>
                <w:rFonts w:ascii="宋体" w:hAnsi="宋体" w:cs="宋体" w:hint="eastAsia"/>
                <w:b/>
                <w:bCs/>
                <w:color w:val="auto"/>
                <w:szCs w:val="21"/>
                <w:highlight w:val="none"/>
                <w:lang w:eastAsia="zh-CN"/>
              </w:rPr>
              <w:t>（一）</w:t>
            </w:r>
            <w:r>
              <w:rPr>
                <w:rFonts w:ascii="宋体" w:hAnsi="宋体" w:cs="宋体" w:hint="eastAsia"/>
                <w:b/>
                <w:bCs/>
                <w:color w:val="auto"/>
                <w:szCs w:val="21"/>
                <w:highlight w:val="none"/>
              </w:rPr>
              <w:t>评审内容：</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对深圳市残疾人联合会抖音或视频号平台运营、主题活动、主题漫画、重大节点活动、网站运营以及品牌推广进行重点难点分析，并提出合理、可操作性的应对措施及建议</w:t>
            </w:r>
            <w:r>
              <w:rPr>
                <w:rFonts w:ascii="宋体" w:hAnsi="宋体" w:cs="宋体" w:hint="eastAsia"/>
                <w:color w:val="auto"/>
                <w:szCs w:val="21"/>
                <w:highlight w:val="none"/>
                <w:lang w:eastAsia="zh-CN"/>
              </w:rPr>
              <w:t>，包含但不限于以下内容：</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1.针对抖音或视频号平台运营特点，提出主题明确、内容丰富的流量扶持、增加阅读量的措施和规划；</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2.针对此项目的推广目标受众有准确的用户画像，能从人口属性、行为兴趣等有综合描述和解析；</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3.分析深圳残疾人网、微信公众号、微博运营，做好运营方案；</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4.分析互联网广告传播链路，有效利用精准的用户画像多角度精准定位，在覆盖百万目标受众的微信平台投放广告，扩大残健共享共融的影响力。</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5.紧密结合残联工作，提出对深圳市残疾人联合会新媒体宣传工作的深刻理解，优化升级传播内容，从新媒体宣传方向提出可实施方案。</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hint="eastAsia"/>
                <w:color w:val="auto"/>
                <w:szCs w:val="21"/>
                <w:highlight w:val="none"/>
              </w:rPr>
            </w:pPr>
            <w:r>
              <w:rPr>
                <w:rFonts w:ascii="宋体" w:hAnsi="宋体" w:cs="宋体" w:hint="eastAsia"/>
                <w:b/>
                <w:bCs/>
                <w:color w:val="auto"/>
                <w:szCs w:val="21"/>
                <w:highlight w:val="none"/>
                <w:lang w:eastAsia="zh-CN"/>
              </w:rPr>
              <w:t>（二）</w:t>
            </w:r>
            <w:r>
              <w:rPr>
                <w:rFonts w:ascii="宋体" w:hAnsi="宋体" w:cs="宋体" w:hint="eastAsia"/>
                <w:b/>
                <w:bCs/>
                <w:color w:val="auto"/>
                <w:szCs w:val="21"/>
                <w:highlight w:val="none"/>
              </w:rPr>
              <w:t>评分标准</w:t>
            </w:r>
            <w:r>
              <w:rPr>
                <w:rFonts w:ascii="宋体" w:hAnsi="宋体" w:cs="宋体" w:hint="eastAsia"/>
                <w:color w:val="auto"/>
                <w:szCs w:val="21"/>
                <w:highlight w:val="none"/>
              </w:rPr>
              <w:t>：</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r>
              <w:rPr>
                <w:rFonts w:ascii="宋体" w:hAnsi="宋体" w:cs="宋体" w:hint="eastAsia"/>
                <w:b w:val="0"/>
                <w:bCs w:val="0"/>
                <w:color w:val="auto"/>
                <w:szCs w:val="21"/>
                <w:highlight w:val="none"/>
                <w:lang w:eastAsia="zh-CN"/>
              </w:rPr>
              <w:t>每满足以上任意一点得</w:t>
            </w:r>
            <w:r>
              <w:rPr>
                <w:rFonts w:ascii="宋体" w:hAnsi="宋体" w:cs="宋体" w:hint="eastAsia"/>
                <w:b w:val="0"/>
                <w:bCs w:val="0"/>
                <w:color w:val="auto"/>
                <w:szCs w:val="21"/>
                <w:highlight w:val="none"/>
                <w:lang w:val="en-US" w:eastAsia="zh-CN"/>
              </w:rPr>
              <w:t>10分，最高得50分；</w:t>
            </w:r>
            <w:r>
              <w:rPr>
                <w:rFonts w:ascii="宋体" w:hAnsi="宋体" w:cs="宋体" w:hint="eastAsia"/>
                <w:b w:val="0"/>
                <w:bCs w:val="0"/>
                <w:color w:val="auto"/>
                <w:szCs w:val="21"/>
                <w:highlight w:val="none"/>
                <w:lang w:eastAsia="zh-CN"/>
              </w:rPr>
              <w:t>在此</w:t>
            </w:r>
            <w:r>
              <w:rPr>
                <w:rFonts w:ascii="宋体" w:hAnsi="宋体" w:cs="宋体" w:hint="eastAsia"/>
                <w:color w:val="auto"/>
                <w:szCs w:val="21"/>
                <w:highlight w:val="none"/>
              </w:rPr>
              <w:t>基础上，</w:t>
            </w:r>
            <w:r>
              <w:rPr>
                <w:rFonts w:ascii="宋体" w:hAnsi="宋体" w:cs="宋体" w:hint="eastAsia"/>
                <w:color w:val="auto"/>
                <w:szCs w:val="21"/>
                <w:highlight w:val="none"/>
                <w:lang w:eastAsia="zh-CN"/>
              </w:rPr>
              <w:t>专家根据各供应商的响应情况进行评价：</w:t>
            </w:r>
            <w:r>
              <w:rPr>
                <w:rFonts w:ascii="宋体" w:hAnsi="宋体" w:cs="宋体" w:hint="eastAsia"/>
                <w:color w:val="auto"/>
                <w:szCs w:val="21"/>
                <w:highlight w:val="none"/>
              </w:rPr>
              <w:t>评价为优</w:t>
            </w:r>
            <w:r>
              <w:rPr>
                <w:rFonts w:ascii="宋体" w:hAnsi="宋体" w:cs="宋体" w:hint="eastAsia"/>
                <w:color w:val="auto"/>
                <w:szCs w:val="21"/>
                <w:highlight w:val="none"/>
                <w:lang w:eastAsia="zh-CN"/>
              </w:rPr>
              <w:t>【项目重点难点分析、应对措施及相关的合理化建议全面、具体，针对性强、科学合理、可操作性强】</w:t>
            </w:r>
            <w:r>
              <w:rPr>
                <w:rFonts w:ascii="宋体" w:hAnsi="宋体" w:cs="宋体" w:hint="eastAsia"/>
                <w:color w:val="auto"/>
                <w:szCs w:val="21"/>
                <w:highlight w:val="none"/>
              </w:rPr>
              <w:t>得</w:t>
            </w:r>
            <w:r>
              <w:rPr>
                <w:rFonts w:ascii="宋体" w:hAnsi="宋体" w:cs="宋体" w:hint="eastAsia"/>
                <w:color w:val="auto"/>
                <w:szCs w:val="21"/>
                <w:highlight w:val="none"/>
                <w:lang w:val="en-US" w:eastAsia="zh-CN"/>
              </w:rPr>
              <w:t>5</w:t>
            </w:r>
            <w:r>
              <w:rPr>
                <w:rFonts w:ascii="宋体" w:hAnsi="宋体" w:cs="宋体" w:hint="eastAsia"/>
                <w:color w:val="auto"/>
                <w:szCs w:val="21"/>
                <w:highlight w:val="none"/>
              </w:rPr>
              <w:t>0分；评价为良</w:t>
            </w:r>
            <w:r>
              <w:rPr>
                <w:rFonts w:ascii="宋体" w:hAnsi="宋体" w:cs="宋体" w:hint="eastAsia"/>
                <w:color w:val="auto"/>
                <w:szCs w:val="21"/>
                <w:highlight w:val="none"/>
                <w:lang w:eastAsia="zh-CN"/>
              </w:rPr>
              <w:t>【项目重点难点分析、应对措施及相关的合理化建议较全面、具体，针对性较强、较科学合理、可操作性较强】</w:t>
            </w:r>
            <w:r>
              <w:rPr>
                <w:rFonts w:ascii="宋体" w:hAnsi="宋体" w:cs="宋体" w:hint="eastAsia"/>
                <w:color w:val="auto"/>
                <w:szCs w:val="21"/>
                <w:highlight w:val="none"/>
              </w:rPr>
              <w:t>得</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0分；评价为中</w:t>
            </w:r>
            <w:r>
              <w:rPr>
                <w:rFonts w:ascii="宋体" w:hAnsi="宋体" w:cs="宋体" w:hint="eastAsia"/>
                <w:color w:val="auto"/>
                <w:szCs w:val="21"/>
                <w:highlight w:val="none"/>
                <w:lang w:eastAsia="zh-CN"/>
              </w:rPr>
              <w:t>【项目重点难点分析、应对措施及相关的合理化建议一般、针对性一般、科学合理一般、可操作性一般】</w:t>
            </w:r>
            <w:r>
              <w:rPr>
                <w:rFonts w:ascii="宋体" w:hAnsi="宋体" w:cs="宋体" w:hint="eastAsia"/>
                <w:color w:val="auto"/>
                <w:szCs w:val="21"/>
                <w:highlight w:val="none"/>
              </w:rPr>
              <w:t>得</w:t>
            </w:r>
            <w:r>
              <w:rPr>
                <w:rFonts w:ascii="宋体" w:hAnsi="宋体" w:cs="宋体" w:hint="eastAsia"/>
                <w:color w:val="auto"/>
                <w:szCs w:val="21"/>
                <w:highlight w:val="none"/>
                <w:lang w:val="en-US" w:eastAsia="zh-CN"/>
              </w:rPr>
              <w:t>1</w:t>
            </w:r>
            <w:r>
              <w:rPr>
                <w:rFonts w:ascii="宋体" w:hAnsi="宋体" w:cs="宋体" w:hint="eastAsia"/>
                <w:color w:val="auto"/>
                <w:szCs w:val="21"/>
                <w:highlight w:val="none"/>
              </w:rPr>
              <w:t>0分；评价为差</w:t>
            </w:r>
            <w:r>
              <w:rPr>
                <w:rFonts w:ascii="宋体" w:hAnsi="宋体" w:cs="宋体" w:hint="eastAsia"/>
                <w:color w:val="auto"/>
                <w:szCs w:val="21"/>
                <w:highlight w:val="none"/>
                <w:lang w:eastAsia="zh-CN"/>
              </w:rPr>
              <w:t>【项目重点难点分析、应对措施及相关的合理化建议差、针对性差、科学合理差、可操作性差】</w:t>
            </w:r>
            <w:r>
              <w:rPr>
                <w:rFonts w:ascii="宋体" w:hAnsi="宋体" w:cs="宋体" w:hint="eastAsia"/>
                <w:color w:val="auto"/>
                <w:szCs w:val="21"/>
                <w:highlight w:val="none"/>
              </w:rPr>
              <w:t>不得分。</w:t>
            </w:r>
            <w:r>
              <w:rPr>
                <w:rFonts w:ascii="宋体" w:eastAsia="宋体" w:hAnsi="宋体" w:cs="宋体" w:hint="eastAsia"/>
                <w:color w:val="auto"/>
                <w:sz w:val="21"/>
                <w:szCs w:val="21"/>
                <w:highlight w:val="none"/>
              </w:rPr>
              <w:t>如果评审为差，要求专家书面说明理由，并记录在档。</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w:t>
            </w:r>
          </w:p>
        </w:tc>
        <w:tc>
          <w:tcPr>
            <w:tcW w:w="1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质量（完成时间、安全、环保）保障措施及方案</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13</w:t>
            </w:r>
          </w:p>
        </w:tc>
        <w:tc>
          <w:tcPr>
            <w:tcW w:w="4966"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b/>
                <w:bCs/>
                <w:i w:val="0"/>
                <w:iCs w:val="0"/>
                <w:color w:val="auto"/>
                <w:szCs w:val="21"/>
                <w:highlight w:val="none"/>
              </w:rPr>
            </w:pPr>
            <w:r>
              <w:rPr>
                <w:rFonts w:ascii="宋体" w:hAnsi="宋体" w:cs="宋体" w:hint="eastAsia"/>
                <w:b/>
                <w:bCs/>
                <w:i w:val="0"/>
                <w:iCs w:val="0"/>
                <w:color w:val="auto"/>
                <w:szCs w:val="21"/>
                <w:highlight w:val="none"/>
                <w:lang w:eastAsia="zh-CN"/>
              </w:rPr>
              <w:t>（一）</w:t>
            </w:r>
            <w:r>
              <w:rPr>
                <w:rFonts w:ascii="宋体" w:hAnsi="宋体" w:cs="宋体" w:hint="eastAsia"/>
                <w:b/>
                <w:bCs/>
                <w:i w:val="0"/>
                <w:iCs w:val="0"/>
                <w:color w:val="auto"/>
                <w:szCs w:val="21"/>
                <w:highlight w:val="none"/>
              </w:rPr>
              <w:t>评审内容：</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hint="eastAsia"/>
                <w:color w:val="auto"/>
                <w:szCs w:val="21"/>
                <w:highlight w:val="none"/>
                <w:lang w:eastAsia="zh-CN"/>
              </w:rPr>
            </w:pPr>
            <w:r>
              <w:rPr>
                <w:rFonts w:ascii="宋体" w:hAnsi="宋体" w:cs="宋体" w:hint="eastAsia"/>
                <w:color w:val="auto"/>
                <w:szCs w:val="21"/>
                <w:highlight w:val="none"/>
              </w:rPr>
              <w:t>为确保项目完成质量，需提供明确的项目执行计划时间表，保障项目有质有量的完成</w:t>
            </w:r>
            <w:r>
              <w:rPr>
                <w:rFonts w:ascii="宋体" w:hAnsi="宋体" w:cs="宋体" w:hint="eastAsia"/>
                <w:color w:val="auto"/>
                <w:szCs w:val="21"/>
                <w:highlight w:val="none"/>
                <w:lang w:eastAsia="zh-CN"/>
              </w:rPr>
              <w:t>，包含但不限于以下内容：</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1</w:t>
            </w:r>
            <w:r>
              <w:rPr>
                <w:rFonts w:ascii="宋体" w:hAnsi="宋体" w:cs="宋体" w:hint="eastAsia"/>
                <w:color w:val="auto"/>
                <w:szCs w:val="21"/>
                <w:highlight w:val="none"/>
                <w:lang w:val="en-US" w:eastAsia="zh-CN"/>
              </w:rPr>
              <w:t>.</w:t>
            </w:r>
            <w:r>
              <w:rPr>
                <w:rFonts w:ascii="宋体" w:hAnsi="宋体" w:cs="宋体" w:hint="eastAsia"/>
                <w:color w:val="auto"/>
                <w:szCs w:val="21"/>
                <w:highlight w:val="none"/>
                <w:lang w:eastAsia="zh-CN"/>
              </w:rPr>
              <w:t>投标人</w:t>
            </w:r>
            <w:r>
              <w:rPr>
                <w:rFonts w:ascii="宋体" w:hAnsi="宋体" w:cs="宋体" w:hint="eastAsia"/>
                <w:color w:val="auto"/>
                <w:szCs w:val="21"/>
                <w:highlight w:val="none"/>
              </w:rPr>
              <w:t>过去三年</w:t>
            </w:r>
            <w:r>
              <w:rPr>
                <w:rFonts w:ascii="宋体" w:hAnsi="宋体" w:cs="宋体" w:hint="eastAsia"/>
                <w:color w:val="auto"/>
                <w:szCs w:val="21"/>
                <w:highlight w:val="none"/>
                <w:lang w:eastAsia="zh-CN"/>
              </w:rPr>
              <w:t>（</w:t>
            </w:r>
            <w:r>
              <w:rPr>
                <w:rFonts w:ascii="宋体" w:hAnsi="宋体" w:cs="宋体" w:hint="eastAsia"/>
                <w:color w:val="auto"/>
                <w:szCs w:val="21"/>
                <w:highlight w:val="none"/>
              </w:rPr>
              <w:t>20</w:t>
            </w:r>
            <w:r>
              <w:rPr>
                <w:rFonts w:ascii="宋体" w:hAnsi="宋体" w:cs="宋体" w:hint="eastAsia"/>
                <w:color w:val="auto"/>
                <w:szCs w:val="21"/>
                <w:highlight w:val="none"/>
                <w:lang w:val="en-US" w:eastAsia="zh-CN"/>
              </w:rPr>
              <w:t>20</w:t>
            </w:r>
            <w:r>
              <w:rPr>
                <w:rFonts w:ascii="宋体" w:hAnsi="宋体" w:cs="宋体" w:hint="eastAsia"/>
                <w:color w:val="auto"/>
                <w:szCs w:val="21"/>
                <w:highlight w:val="none"/>
              </w:rPr>
              <w:t>年1月1日至本项目开标之日</w:t>
            </w:r>
            <w:r>
              <w:rPr>
                <w:rFonts w:ascii="宋体" w:hAnsi="宋体" w:cs="宋体" w:hint="eastAsia"/>
                <w:color w:val="auto"/>
                <w:szCs w:val="21"/>
                <w:highlight w:val="none"/>
                <w:lang w:eastAsia="zh-CN"/>
              </w:rPr>
              <w:t>）</w:t>
            </w:r>
            <w:r>
              <w:rPr>
                <w:rFonts w:ascii="宋体" w:hAnsi="宋体" w:cs="宋体" w:hint="eastAsia"/>
                <w:color w:val="auto"/>
                <w:szCs w:val="21"/>
                <w:highlight w:val="none"/>
              </w:rPr>
              <w:t>获得</w:t>
            </w:r>
            <w:r>
              <w:rPr>
                <w:rFonts w:ascii="宋体" w:hAnsi="宋体" w:cs="宋体" w:hint="eastAsia"/>
                <w:color w:val="auto"/>
                <w:szCs w:val="21"/>
                <w:highlight w:val="none"/>
                <w:lang w:val="en-US" w:eastAsia="zh-CN"/>
              </w:rPr>
              <w:t>政府部门或行政事业单位</w:t>
            </w:r>
            <w:r>
              <w:rPr>
                <w:rFonts w:ascii="宋体" w:hAnsi="宋体" w:cs="宋体" w:hint="eastAsia"/>
                <w:color w:val="auto"/>
                <w:szCs w:val="21"/>
                <w:highlight w:val="none"/>
              </w:rPr>
              <w:t>给与的好评，大于等于8个；好评包括感谢信、勾选“满意”及以上得项目要验收单、表扬函等，好评文件均需甲方加盖公章，否则不得分。提供好评文件</w:t>
            </w:r>
            <w:r>
              <w:rPr>
                <w:rFonts w:ascii="宋体" w:hAnsi="宋体" w:cs="宋体" w:hint="eastAsia"/>
                <w:color w:val="auto"/>
                <w:szCs w:val="21"/>
                <w:highlight w:val="none"/>
                <w:lang w:eastAsia="zh-CN"/>
              </w:rPr>
              <w:t>扫描</w:t>
            </w:r>
            <w:r>
              <w:rPr>
                <w:rFonts w:ascii="宋体" w:hAnsi="宋体" w:cs="宋体" w:hint="eastAsia"/>
                <w:color w:val="auto"/>
                <w:szCs w:val="21"/>
                <w:highlight w:val="none"/>
              </w:rPr>
              <w:t>件，不提供不得分。</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w:t>
            </w:r>
            <w:r>
              <w:rPr>
                <w:rFonts w:ascii="宋体" w:hAnsi="宋体" w:cs="宋体" w:hint="eastAsia"/>
                <w:color w:val="auto"/>
                <w:szCs w:val="21"/>
                <w:highlight w:val="none"/>
              </w:rPr>
              <w:t>提供明确的项目执行计划时间表。</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3</w:t>
            </w:r>
            <w:r>
              <w:rPr>
                <w:rFonts w:ascii="宋体" w:hAnsi="宋体" w:cs="宋体" w:hint="eastAsia"/>
                <w:color w:val="auto"/>
                <w:szCs w:val="21"/>
                <w:highlight w:val="none"/>
                <w:lang w:val="en-US" w:eastAsia="zh-CN"/>
              </w:rPr>
              <w:t>.</w:t>
            </w:r>
            <w:r>
              <w:rPr>
                <w:rFonts w:ascii="宋体" w:hAnsi="宋体" w:cs="宋体" w:hint="eastAsia"/>
                <w:color w:val="auto"/>
                <w:szCs w:val="21"/>
                <w:highlight w:val="none"/>
              </w:rPr>
              <w:t>按要求成立必要的团队，并分工明确。</w:t>
            </w:r>
            <w:r>
              <w:rPr>
                <w:rFonts w:ascii="宋体" w:hAnsi="宋体" w:cs="宋体" w:hint="eastAsia"/>
                <w:color w:val="auto"/>
                <w:szCs w:val="21"/>
                <w:highlight w:val="none"/>
                <w:lang w:eastAsia="zh-CN"/>
              </w:rPr>
              <w:t>（提供项目成员清单）</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b/>
                <w:bCs/>
                <w:color w:val="auto"/>
                <w:szCs w:val="21"/>
                <w:highlight w:val="none"/>
                <w:lang w:eastAsia="zh-CN"/>
              </w:rPr>
              <w:t>（二）</w:t>
            </w:r>
            <w:r>
              <w:rPr>
                <w:rFonts w:ascii="宋体" w:hAnsi="宋体" w:cs="宋体" w:hint="eastAsia"/>
                <w:b/>
                <w:bCs/>
                <w:color w:val="auto"/>
                <w:szCs w:val="21"/>
                <w:highlight w:val="none"/>
              </w:rPr>
              <w:t>评分标准</w:t>
            </w:r>
            <w:r>
              <w:rPr>
                <w:rFonts w:ascii="宋体" w:hAnsi="宋体" w:cs="宋体" w:hint="eastAsia"/>
                <w:color w:val="auto"/>
                <w:szCs w:val="21"/>
                <w:highlight w:val="none"/>
              </w:rPr>
              <w:t>：</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r>
              <w:rPr>
                <w:rFonts w:ascii="宋体" w:hAnsi="宋体" w:cs="宋体" w:hint="eastAsia"/>
                <w:b w:val="0"/>
                <w:bCs w:val="0"/>
                <w:color w:val="auto"/>
                <w:szCs w:val="21"/>
                <w:highlight w:val="none"/>
                <w:lang w:eastAsia="zh-CN"/>
              </w:rPr>
              <w:t>每满足以上任意一点得</w:t>
            </w:r>
            <w:r>
              <w:rPr>
                <w:rFonts w:ascii="宋体" w:hAnsi="宋体" w:cs="宋体" w:hint="eastAsia"/>
                <w:b w:val="0"/>
                <w:bCs w:val="0"/>
                <w:color w:val="auto"/>
                <w:szCs w:val="21"/>
                <w:highlight w:val="none"/>
                <w:lang w:val="en-US" w:eastAsia="zh-CN"/>
              </w:rPr>
              <w:t>10分，最高得30分；</w:t>
            </w:r>
            <w:r>
              <w:rPr>
                <w:rFonts w:ascii="宋体" w:hAnsi="宋体" w:cs="宋体" w:hint="eastAsia"/>
                <w:b w:val="0"/>
                <w:bCs w:val="0"/>
                <w:color w:val="auto"/>
                <w:szCs w:val="21"/>
                <w:highlight w:val="none"/>
                <w:lang w:eastAsia="zh-CN"/>
              </w:rPr>
              <w:t>在此</w:t>
            </w:r>
            <w:r>
              <w:rPr>
                <w:rFonts w:ascii="宋体" w:hAnsi="宋体" w:cs="宋体" w:hint="eastAsia"/>
                <w:color w:val="auto"/>
                <w:szCs w:val="21"/>
                <w:highlight w:val="none"/>
              </w:rPr>
              <w:t>基础上，</w:t>
            </w:r>
            <w:r>
              <w:rPr>
                <w:rFonts w:ascii="宋体" w:hAnsi="宋体" w:cs="宋体" w:hint="eastAsia"/>
                <w:color w:val="auto"/>
                <w:szCs w:val="21"/>
                <w:highlight w:val="none"/>
                <w:lang w:eastAsia="zh-CN"/>
              </w:rPr>
              <w:t>专家根据各供应商的响应情况进行评价：</w:t>
            </w:r>
            <w:r>
              <w:rPr>
                <w:rFonts w:ascii="宋体" w:hAnsi="宋体" w:cs="宋体" w:hint="eastAsia"/>
                <w:color w:val="auto"/>
                <w:szCs w:val="21"/>
                <w:highlight w:val="none"/>
              </w:rPr>
              <w:t>评价为优</w:t>
            </w:r>
            <w:r>
              <w:rPr>
                <w:rFonts w:ascii="宋体" w:hAnsi="宋体" w:cs="宋体" w:hint="eastAsia"/>
                <w:color w:val="auto"/>
                <w:szCs w:val="21"/>
                <w:highlight w:val="none"/>
                <w:lang w:eastAsia="zh-CN"/>
              </w:rPr>
              <w:t>【质量保障措施及方案全面、具体，针对性强，人员安排科学合理、可操作性强】</w:t>
            </w:r>
            <w:r>
              <w:rPr>
                <w:rFonts w:ascii="宋体" w:hAnsi="宋体" w:cs="宋体" w:hint="eastAsia"/>
                <w:color w:val="auto"/>
                <w:szCs w:val="21"/>
                <w:highlight w:val="none"/>
              </w:rPr>
              <w:t>得</w:t>
            </w:r>
            <w:r>
              <w:rPr>
                <w:rFonts w:ascii="宋体" w:hAnsi="宋体" w:cs="宋体" w:hint="eastAsia"/>
                <w:color w:val="auto"/>
                <w:szCs w:val="21"/>
                <w:highlight w:val="none"/>
                <w:lang w:val="en-US" w:eastAsia="zh-CN"/>
              </w:rPr>
              <w:t>7</w:t>
            </w:r>
            <w:r>
              <w:rPr>
                <w:rFonts w:ascii="宋体" w:hAnsi="宋体" w:cs="宋体" w:hint="eastAsia"/>
                <w:color w:val="auto"/>
                <w:szCs w:val="21"/>
                <w:highlight w:val="none"/>
              </w:rPr>
              <w:t>0分；评价为良</w:t>
            </w:r>
            <w:r>
              <w:rPr>
                <w:rFonts w:ascii="宋体" w:hAnsi="宋体" w:cs="宋体" w:hint="eastAsia"/>
                <w:color w:val="auto"/>
                <w:szCs w:val="21"/>
                <w:highlight w:val="none"/>
                <w:lang w:eastAsia="zh-CN"/>
              </w:rPr>
              <w:t>【质量保障措施及方案较全面、具体，针对性较强，人员安排较科学合理、可操作性较强】</w:t>
            </w:r>
            <w:r>
              <w:rPr>
                <w:rFonts w:ascii="宋体" w:hAnsi="宋体" w:cs="宋体" w:hint="eastAsia"/>
                <w:color w:val="auto"/>
                <w:szCs w:val="21"/>
                <w:highlight w:val="none"/>
              </w:rPr>
              <w:t>得</w:t>
            </w:r>
            <w:r>
              <w:rPr>
                <w:rFonts w:ascii="宋体" w:hAnsi="宋体" w:cs="宋体" w:hint="eastAsia"/>
                <w:color w:val="auto"/>
                <w:szCs w:val="21"/>
                <w:highlight w:val="none"/>
                <w:lang w:val="en-US" w:eastAsia="zh-CN"/>
              </w:rPr>
              <w:t>5</w:t>
            </w:r>
            <w:r>
              <w:rPr>
                <w:rFonts w:ascii="宋体" w:hAnsi="宋体" w:cs="宋体" w:hint="eastAsia"/>
                <w:color w:val="auto"/>
                <w:szCs w:val="21"/>
                <w:highlight w:val="none"/>
              </w:rPr>
              <w:t>0分；评价为中</w:t>
            </w:r>
            <w:r>
              <w:rPr>
                <w:rFonts w:ascii="宋体" w:hAnsi="宋体" w:cs="宋体" w:hint="eastAsia"/>
                <w:color w:val="auto"/>
                <w:szCs w:val="21"/>
                <w:highlight w:val="none"/>
                <w:lang w:eastAsia="zh-CN"/>
              </w:rPr>
              <w:t>【质量保障措施及方案一般、针对性一般、人员安排合理性一般、可操作性一般】</w:t>
            </w:r>
            <w:r>
              <w:rPr>
                <w:rFonts w:ascii="宋体" w:hAnsi="宋体" w:cs="宋体" w:hint="eastAsia"/>
                <w:color w:val="auto"/>
                <w:szCs w:val="21"/>
                <w:highlight w:val="none"/>
              </w:rPr>
              <w:t>得</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0分；评价为差</w:t>
            </w:r>
            <w:r>
              <w:rPr>
                <w:rFonts w:ascii="宋体" w:hAnsi="宋体" w:cs="宋体" w:hint="eastAsia"/>
                <w:color w:val="auto"/>
                <w:szCs w:val="21"/>
                <w:highlight w:val="none"/>
                <w:lang w:eastAsia="zh-CN"/>
              </w:rPr>
              <w:t>【质量保障措施及方案差、针对性差、人员安排差、可操作性差】</w:t>
            </w:r>
            <w:r>
              <w:rPr>
                <w:rFonts w:ascii="宋体" w:hAnsi="宋体" w:cs="宋体" w:hint="eastAsia"/>
                <w:color w:val="auto"/>
                <w:szCs w:val="21"/>
                <w:highlight w:val="none"/>
              </w:rPr>
              <w:t>不得分。</w:t>
            </w:r>
            <w:r>
              <w:rPr>
                <w:rFonts w:ascii="宋体" w:eastAsia="宋体" w:hAnsi="宋体" w:cs="宋体" w:hint="eastAsia"/>
                <w:color w:val="auto"/>
                <w:sz w:val="21"/>
                <w:szCs w:val="21"/>
                <w:highlight w:val="none"/>
              </w:rPr>
              <w:t>如果评审为差，要求专家书面说明理由，并记录在档。</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w:t>
            </w:r>
          </w:p>
        </w:tc>
        <w:tc>
          <w:tcPr>
            <w:tcW w:w="1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项目完成（服务期满）后的服务承诺</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1</w:t>
            </w:r>
          </w:p>
        </w:tc>
        <w:tc>
          <w:tcPr>
            <w:tcW w:w="4966"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numPr>
                <w:ilvl w:val="0"/>
                <w:numId w:val="0"/>
              </w:numPr>
              <w:kinsoku/>
              <w:overflowPunct/>
              <w:topLinePunct w:val="0"/>
              <w:autoSpaceDE/>
              <w:autoSpaceDN/>
              <w:bidi w:val="0"/>
              <w:adjustRightInd/>
              <w:snapToGrid/>
              <w:spacing w:line="240" w:lineRule="auto"/>
              <w:jc w:val="left"/>
              <w:textAlignment w:val="auto"/>
              <w:rPr>
                <w:rFonts w:ascii="宋体" w:hAnsi="宋体" w:cs="宋体" w:hint="eastAsia"/>
                <w:b/>
                <w:bCs/>
                <w:color w:val="auto"/>
                <w:szCs w:val="21"/>
                <w:highlight w:val="none"/>
              </w:rPr>
            </w:pP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lang w:val="en-US" w:eastAsia="zh-CN"/>
              </w:rPr>
              <w:t>一</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rPr>
              <w:t>评审内容：</w:t>
            </w:r>
          </w:p>
          <w:p>
            <w:pPr>
              <w:keepNext w:val="0"/>
              <w:keepLines w:val="0"/>
              <w:pageBreakBefore w:val="0"/>
              <w:widowControl w:val="0"/>
              <w:numPr>
                <w:ilvl w:val="0"/>
                <w:numId w:val="0"/>
              </w:numPr>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投标人承诺服务期满后主动办理交接手续的，得100分。</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leftChars="0"/>
              <w:jc w:val="left"/>
              <w:textAlignment w:val="auto"/>
              <w:rPr>
                <w:rFonts w:ascii="宋体" w:hAnsi="宋体" w:cs="宋体" w:hint="eastAsia"/>
                <w:b/>
                <w:bCs/>
                <w:color w:val="auto"/>
                <w:szCs w:val="21"/>
                <w:highlight w:val="none"/>
              </w:rPr>
            </w:pPr>
            <w:r>
              <w:rPr>
                <w:rFonts w:ascii="宋体" w:hAnsi="宋体" w:cs="宋体" w:hint="eastAsia"/>
                <w:b/>
                <w:bCs/>
                <w:color w:val="auto"/>
                <w:szCs w:val="21"/>
                <w:highlight w:val="none"/>
                <w:lang w:eastAsia="zh-CN"/>
              </w:rPr>
              <w:t>（二）</w:t>
            </w:r>
            <w:r>
              <w:rPr>
                <w:rFonts w:ascii="宋体" w:hAnsi="宋体" w:cs="宋体" w:hint="eastAsia"/>
                <w:b/>
                <w:bCs/>
                <w:color w:val="auto"/>
                <w:szCs w:val="21"/>
                <w:highlight w:val="none"/>
              </w:rPr>
              <w:t>评分标准：</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leftChars="0"/>
              <w:jc w:val="left"/>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要求提供承诺（格式自定）作为得分依据，未提供承诺或承诺内容不满足要求不得分。</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w:t>
            </w:r>
          </w:p>
        </w:tc>
        <w:tc>
          <w:tcPr>
            <w:tcW w:w="1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违约承诺</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1</w:t>
            </w:r>
          </w:p>
        </w:tc>
        <w:tc>
          <w:tcPr>
            <w:tcW w:w="4966"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b/>
                <w:bCs/>
                <w:color w:val="auto"/>
                <w:szCs w:val="21"/>
                <w:highlight w:val="none"/>
              </w:rPr>
            </w:pPr>
            <w:r>
              <w:rPr>
                <w:rFonts w:ascii="宋体" w:hAnsi="宋体" w:cs="宋体" w:hint="eastAsia"/>
                <w:b/>
                <w:bCs/>
                <w:color w:val="auto"/>
                <w:szCs w:val="21"/>
                <w:highlight w:val="none"/>
                <w:lang w:eastAsia="zh-CN"/>
              </w:rPr>
              <w:t>（一）</w:t>
            </w:r>
            <w:r>
              <w:rPr>
                <w:rFonts w:ascii="宋体" w:hAnsi="宋体" w:cs="宋体" w:hint="eastAsia"/>
                <w:b/>
                <w:bCs/>
                <w:color w:val="auto"/>
                <w:szCs w:val="21"/>
                <w:highlight w:val="none"/>
              </w:rPr>
              <w:t>评审内容：</w:t>
            </w:r>
          </w:p>
          <w:p>
            <w:pPr>
              <w:keepNext w:val="0"/>
              <w:keepLines w:val="0"/>
              <w:pageBreakBefore w:val="0"/>
              <w:suppressLineNumbers w:val="0"/>
              <w:kinsoku/>
              <w:overflowPunct/>
              <w:topLinePunct w:val="0"/>
              <w:autoSpaceDE/>
              <w:autoSpaceDN/>
              <w:bidi w:val="0"/>
              <w:adjustRightInd/>
              <w:snapToGrid/>
              <w:spacing w:before="0" w:beforeAutospacing="0" w:after="0" w:afterAutospacing="0" w:line="440" w:lineRule="exact"/>
              <w:ind w:left="0" w:right="0"/>
              <w:jc w:val="left"/>
              <w:textAlignment w:val="auto"/>
              <w:rPr>
                <w:rFonts w:asciiTheme="minorEastAsia" w:eastAsiaTheme="minorEastAsia" w:hAnsiTheme="minorEastAsia" w:cstheme="minorEastAsia" w:hint="eastAsia"/>
                <w:color w:val="auto"/>
                <w:sz w:val="21"/>
                <w:szCs w:val="21"/>
                <w:highlight w:val="none"/>
                <w:lang w:eastAsia="zh-CN"/>
              </w:rPr>
            </w:pPr>
            <w:r>
              <w:rPr>
                <w:rFonts w:asciiTheme="minorEastAsia" w:eastAsiaTheme="minorEastAsia" w:hAnsiTheme="minorEastAsia" w:cstheme="minorEastAsia" w:hint="eastAsia"/>
                <w:color w:val="auto"/>
                <w:sz w:val="21"/>
                <w:szCs w:val="21"/>
                <w:highlight w:val="none"/>
                <w:lang w:eastAsia="zh-CN"/>
              </w:rPr>
              <w:t>投标供应商承诺以下全部三项的得100分，否则不得分。</w:t>
            </w:r>
          </w:p>
          <w:p>
            <w:pPr>
              <w:keepNext w:val="0"/>
              <w:keepLines w:val="0"/>
              <w:pageBreakBefore w:val="0"/>
              <w:suppressLineNumbers w:val="0"/>
              <w:kinsoku/>
              <w:overflowPunct/>
              <w:topLinePunct w:val="0"/>
              <w:autoSpaceDE/>
              <w:autoSpaceDN/>
              <w:bidi w:val="0"/>
              <w:adjustRightInd/>
              <w:snapToGrid/>
              <w:spacing w:before="0" w:beforeAutospacing="0" w:after="0" w:afterAutospacing="0" w:line="440" w:lineRule="exact"/>
              <w:ind w:left="0" w:right="0"/>
              <w:jc w:val="left"/>
              <w:textAlignment w:val="auto"/>
              <w:rPr>
                <w:rFonts w:asciiTheme="minorEastAsia" w:eastAsiaTheme="minorEastAsia" w:hAnsiTheme="minorEastAsia" w:cstheme="minorEastAsia" w:hint="eastAsia"/>
                <w:color w:val="auto"/>
                <w:sz w:val="21"/>
                <w:szCs w:val="21"/>
                <w:highlight w:val="none"/>
                <w:lang w:eastAsia="zh-CN"/>
              </w:rPr>
            </w:pPr>
            <w:r>
              <w:rPr>
                <w:rFonts w:asciiTheme="minorEastAsia" w:eastAsiaTheme="minorEastAsia" w:hAnsiTheme="minorEastAsia" w:cstheme="minorEastAsia" w:hint="eastAsia"/>
                <w:color w:val="auto"/>
                <w:sz w:val="21"/>
                <w:szCs w:val="21"/>
                <w:highlight w:val="none"/>
                <w:lang w:eastAsia="zh-CN"/>
              </w:rPr>
              <w:t>1.人员严格按照招标文件及投标承诺配置；</w:t>
            </w:r>
          </w:p>
          <w:p>
            <w:pPr>
              <w:keepNext w:val="0"/>
              <w:keepLines w:val="0"/>
              <w:pageBreakBefore w:val="0"/>
              <w:suppressLineNumbers w:val="0"/>
              <w:kinsoku/>
              <w:overflowPunct/>
              <w:topLinePunct w:val="0"/>
              <w:autoSpaceDE/>
              <w:autoSpaceDN/>
              <w:bidi w:val="0"/>
              <w:adjustRightInd/>
              <w:snapToGrid/>
              <w:spacing w:before="0" w:beforeAutospacing="0" w:after="0" w:afterAutospacing="0" w:line="440" w:lineRule="exact"/>
              <w:ind w:left="0" w:right="0"/>
              <w:jc w:val="left"/>
              <w:textAlignment w:val="auto"/>
              <w:rPr>
                <w:rFonts w:asciiTheme="minorEastAsia" w:eastAsiaTheme="minorEastAsia" w:hAnsiTheme="minorEastAsia" w:cstheme="minorEastAsia" w:hint="eastAsia"/>
                <w:color w:val="auto"/>
                <w:sz w:val="21"/>
                <w:szCs w:val="21"/>
                <w:highlight w:val="none"/>
                <w:lang w:eastAsia="zh-CN"/>
              </w:rPr>
            </w:pPr>
            <w:r>
              <w:rPr>
                <w:rFonts w:asciiTheme="minorEastAsia" w:eastAsiaTheme="minorEastAsia" w:hAnsiTheme="minorEastAsia" w:cstheme="minorEastAsia" w:hint="eastAsia"/>
                <w:color w:val="auto"/>
                <w:sz w:val="21"/>
                <w:szCs w:val="21"/>
                <w:highlight w:val="none"/>
                <w:lang w:eastAsia="zh-CN"/>
              </w:rPr>
              <w:t>2.服务质量达到招标文件要求；</w:t>
            </w:r>
          </w:p>
          <w:p>
            <w:pPr>
              <w:keepNext w:val="0"/>
              <w:keepLines w:val="0"/>
              <w:pageBreakBefore w:val="0"/>
              <w:suppressLineNumbers w:val="0"/>
              <w:kinsoku/>
              <w:overflowPunct/>
              <w:topLinePunct w:val="0"/>
              <w:autoSpaceDE/>
              <w:autoSpaceDN/>
              <w:bidi w:val="0"/>
              <w:adjustRightInd/>
              <w:snapToGrid/>
              <w:spacing w:before="0" w:beforeAutospacing="0" w:after="0" w:afterAutospacing="0" w:line="440" w:lineRule="exact"/>
              <w:ind w:left="0" w:right="0"/>
              <w:jc w:val="left"/>
              <w:textAlignment w:val="auto"/>
              <w:rPr>
                <w:rFonts w:asciiTheme="minorEastAsia" w:eastAsiaTheme="minorEastAsia" w:hAnsiTheme="minorEastAsia" w:cstheme="minorEastAsia" w:hint="eastAsia"/>
                <w:color w:val="auto"/>
                <w:sz w:val="21"/>
                <w:szCs w:val="21"/>
                <w:highlight w:val="none"/>
                <w:lang w:eastAsia="zh-CN"/>
              </w:rPr>
            </w:pPr>
            <w:r>
              <w:rPr>
                <w:rFonts w:asciiTheme="minorEastAsia" w:eastAsiaTheme="minorEastAsia" w:hAnsiTheme="minorEastAsia" w:cstheme="minorEastAsia" w:hint="eastAsia"/>
                <w:color w:val="auto"/>
                <w:sz w:val="21"/>
                <w:szCs w:val="21"/>
                <w:highlight w:val="none"/>
                <w:lang w:eastAsia="zh-CN"/>
              </w:rPr>
              <w:t>3.对未能达到的管理要求承担管理责任。</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b/>
                <w:bCs/>
                <w:color w:val="auto"/>
                <w:szCs w:val="21"/>
                <w:highlight w:val="none"/>
              </w:rPr>
            </w:pPr>
            <w:r>
              <w:rPr>
                <w:rFonts w:ascii="宋体" w:hAnsi="宋体" w:cs="宋体" w:hint="eastAsia"/>
                <w:b/>
                <w:bCs/>
                <w:color w:val="auto"/>
                <w:szCs w:val="21"/>
                <w:highlight w:val="none"/>
                <w:lang w:eastAsia="zh-CN"/>
              </w:rPr>
              <w:t>（二）</w:t>
            </w:r>
            <w:r>
              <w:rPr>
                <w:rFonts w:ascii="宋体" w:hAnsi="宋体" w:cs="宋体" w:hint="eastAsia"/>
                <w:b/>
                <w:bCs/>
                <w:color w:val="auto"/>
                <w:szCs w:val="21"/>
                <w:highlight w:val="none"/>
              </w:rPr>
              <w:t>评分标准：</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r>
              <w:rPr>
                <w:rFonts w:asciiTheme="minorEastAsia" w:eastAsiaTheme="minorEastAsia" w:hAnsiTheme="minorEastAsia" w:cstheme="minorEastAsia" w:hint="eastAsia"/>
                <w:color w:val="auto"/>
                <w:sz w:val="21"/>
                <w:szCs w:val="21"/>
                <w:highlight w:val="none"/>
                <w:lang w:eastAsia="zh-CN"/>
              </w:rPr>
              <w:t>要求提供承诺（格式自定）作为得分依据，未提供承诺或承诺内容不满足要求不得分。</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3</w:t>
            </w:r>
          </w:p>
        </w:tc>
        <w:tc>
          <w:tcPr>
            <w:tcW w:w="2801" w:type="dxa"/>
            <w:gridSpan w:val="3"/>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商务部分</w:t>
            </w:r>
          </w:p>
        </w:tc>
        <w:tc>
          <w:tcPr>
            <w:tcW w:w="4966"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hint="default"/>
                <w:b/>
                <w:bCs/>
                <w:color w:val="auto"/>
                <w:szCs w:val="21"/>
                <w:highlight w:val="none"/>
                <w:lang w:val="en-US" w:eastAsia="zh-CN"/>
              </w:rPr>
            </w:pPr>
            <w:r>
              <w:rPr>
                <w:rFonts w:asciiTheme="majorEastAsia" w:eastAsiaTheme="majorEastAsia" w:hAnsiTheme="majorEastAsia" w:cstheme="majorEastAsia" w:hint="eastAsia"/>
                <w:b/>
                <w:bCs/>
                <w:color w:val="auto"/>
                <w:szCs w:val="21"/>
                <w:highlight w:val="none"/>
                <w:lang w:val="en-US" w:eastAsia="zh-CN"/>
              </w:rPr>
              <w:t>40</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val="restart"/>
            <w:tcBorders>
              <w:top w:val="single" w:sz="4" w:space="0" w:color="auto"/>
              <w:left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序号</w:t>
            </w:r>
          </w:p>
        </w:tc>
        <w:tc>
          <w:tcPr>
            <w:tcW w:w="1097"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内容</w:t>
            </w:r>
          </w:p>
        </w:tc>
        <w:tc>
          <w:tcPr>
            <w:tcW w:w="1020"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hint="eastAsia"/>
                <w:color w:val="auto"/>
                <w:szCs w:val="21"/>
                <w:highlight w:val="none"/>
                <w:lang w:eastAsia="zh-CN"/>
              </w:rPr>
            </w:pPr>
            <w:r>
              <w:rPr>
                <w:rFonts w:asciiTheme="majorEastAsia" w:eastAsiaTheme="majorEastAsia" w:hAnsiTheme="majorEastAsia" w:cstheme="majorEastAsia" w:hint="eastAsia"/>
                <w:color w:val="auto"/>
                <w:szCs w:val="21"/>
                <w:highlight w:val="none"/>
              </w:rPr>
              <w:t>权重</w:t>
            </w:r>
            <w:r>
              <w:rPr>
                <w:rFonts w:asciiTheme="majorEastAsia" w:eastAsiaTheme="majorEastAsia" w:hAnsiTheme="majorEastAsia" w:cstheme="majorEastAsia" w:hint="eastAsia"/>
                <w:color w:val="auto"/>
                <w:szCs w:val="21"/>
                <w:highlight w:val="none"/>
                <w:lang w:eastAsia="zh-CN"/>
              </w:rPr>
              <w:t>（</w:t>
            </w:r>
            <w:r>
              <w:rPr>
                <w:rFonts w:asciiTheme="majorEastAsia" w:eastAsiaTheme="majorEastAsia" w:hAnsiTheme="majorEastAsia" w:cstheme="majorEastAsia" w:hint="eastAsia"/>
                <w:color w:val="auto"/>
                <w:szCs w:val="21"/>
                <w:highlight w:val="none"/>
                <w:lang w:val="en-US" w:eastAsia="zh-CN"/>
              </w:rPr>
              <w:t>%</w:t>
            </w:r>
            <w:r>
              <w:rPr>
                <w:rFonts w:asciiTheme="majorEastAsia" w:eastAsiaTheme="majorEastAsia" w:hAnsiTheme="majorEastAsia" w:cstheme="majorEastAsia" w:hint="eastAsia"/>
                <w:color w:val="auto"/>
                <w:szCs w:val="21"/>
                <w:highlight w:val="none"/>
                <w:lang w:eastAsia="zh-CN"/>
              </w:rPr>
              <w:t>）</w:t>
            </w:r>
          </w:p>
        </w:tc>
        <w:tc>
          <w:tcPr>
            <w:tcW w:w="4966"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评分准则</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w:t>
            </w:r>
          </w:p>
        </w:tc>
        <w:tc>
          <w:tcPr>
            <w:tcW w:w="1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投标人通过相关认证情况</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8</w:t>
            </w:r>
          </w:p>
        </w:tc>
        <w:tc>
          <w:tcPr>
            <w:tcW w:w="4966"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b/>
                <w:bCs/>
                <w:color w:val="auto"/>
                <w:szCs w:val="21"/>
                <w:highlight w:val="none"/>
              </w:rPr>
            </w:pPr>
            <w:r>
              <w:rPr>
                <w:rFonts w:ascii="宋体" w:hAnsi="宋体" w:cs="宋体" w:hint="eastAsia"/>
                <w:b/>
                <w:bCs/>
                <w:color w:val="auto"/>
                <w:szCs w:val="21"/>
                <w:highlight w:val="none"/>
              </w:rPr>
              <w:t>（一）评分内容：</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hint="eastAsia"/>
                <w:b w:val="0"/>
                <w:bCs w:val="0"/>
                <w:color w:val="auto"/>
                <w:szCs w:val="21"/>
                <w:highlight w:val="none"/>
              </w:rPr>
            </w:pPr>
            <w:r>
              <w:rPr>
                <w:rFonts w:ascii="宋体" w:hAnsi="宋体" w:cs="宋体" w:hint="eastAsia"/>
                <w:b w:val="0"/>
                <w:bCs w:val="0"/>
                <w:color w:val="auto"/>
                <w:szCs w:val="21"/>
                <w:highlight w:val="none"/>
              </w:rPr>
              <w:t>投标人每具有《互联网新网信息服务许可证》、《信息网络传播视听节目许可证》、《互联网出版许可证》、《网络文化经营许可证》、《广播电视节目制作经营许可证》中任意2项得50分、任意3项得75分，4项</w:t>
            </w:r>
            <w:r>
              <w:rPr>
                <w:rFonts w:ascii="宋体" w:hAnsi="宋体" w:cs="宋体" w:hint="eastAsia"/>
                <w:b w:val="0"/>
                <w:bCs w:val="0"/>
                <w:color w:val="auto"/>
                <w:szCs w:val="21"/>
                <w:highlight w:val="none"/>
                <w:lang w:val="en-US" w:eastAsia="zh-CN"/>
              </w:rPr>
              <w:t>及以上</w:t>
            </w:r>
            <w:r>
              <w:rPr>
                <w:rFonts w:ascii="宋体" w:hAnsi="宋体" w:cs="宋体" w:hint="eastAsia"/>
                <w:b w:val="0"/>
                <w:bCs w:val="0"/>
                <w:color w:val="auto"/>
                <w:szCs w:val="21"/>
                <w:highlight w:val="none"/>
              </w:rPr>
              <w:t>得100分，其余不得分。</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b/>
                <w:bCs/>
                <w:color w:val="auto"/>
                <w:szCs w:val="21"/>
                <w:highlight w:val="none"/>
              </w:rPr>
            </w:pPr>
            <w:r>
              <w:rPr>
                <w:rFonts w:ascii="宋体" w:hAnsi="宋体" w:cs="宋体" w:hint="eastAsia"/>
                <w:b/>
                <w:bCs/>
                <w:color w:val="auto"/>
                <w:szCs w:val="21"/>
                <w:highlight w:val="none"/>
              </w:rPr>
              <w:t>（二）评分依据：</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1.要求提供有效的授权证明文件作为得分依据。</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2.以上资料均要求提供</w:t>
            </w:r>
            <w:r>
              <w:rPr>
                <w:rFonts w:ascii="宋体" w:hAnsi="宋体" w:cs="宋体" w:hint="eastAsia"/>
                <w:color w:val="auto"/>
                <w:szCs w:val="21"/>
                <w:highlight w:val="none"/>
                <w:lang w:eastAsia="zh-CN"/>
              </w:rPr>
              <w:t>扫描</w:t>
            </w:r>
            <w:r>
              <w:rPr>
                <w:rFonts w:ascii="宋体" w:hAnsi="宋体" w:cs="宋体" w:hint="eastAsia"/>
                <w:color w:val="auto"/>
                <w:szCs w:val="21"/>
                <w:highlight w:val="none"/>
              </w:rPr>
              <w:t>件（或官方网站截图）。评分中出现无证明资料或专家无法凭所提供资料判断是否得分的情况，一律作不得分处理。</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w:t>
            </w:r>
          </w:p>
        </w:tc>
        <w:tc>
          <w:tcPr>
            <w:tcW w:w="1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投标人同类项目业绩情况</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10</w:t>
            </w:r>
          </w:p>
        </w:tc>
        <w:tc>
          <w:tcPr>
            <w:tcW w:w="4966"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b/>
                <w:bCs/>
                <w:color w:val="auto"/>
                <w:szCs w:val="21"/>
                <w:highlight w:val="none"/>
              </w:rPr>
            </w:pPr>
            <w:r>
              <w:rPr>
                <w:rFonts w:ascii="宋体" w:hAnsi="宋体" w:cs="宋体" w:hint="eastAsia"/>
                <w:b/>
                <w:bCs/>
                <w:color w:val="auto"/>
                <w:szCs w:val="21"/>
                <w:highlight w:val="none"/>
              </w:rPr>
              <w:t>（一）评分内容：</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hint="eastAsia"/>
                <w:color w:val="auto"/>
                <w:szCs w:val="21"/>
                <w:highlight w:val="none"/>
              </w:rPr>
            </w:pPr>
            <w:r>
              <w:rPr>
                <w:rFonts w:ascii="宋体" w:hAnsi="宋体" w:cs="宋体" w:hint="eastAsia"/>
                <w:color w:val="auto"/>
                <w:szCs w:val="21"/>
                <w:highlight w:val="none"/>
              </w:rPr>
              <w:t>近三年（以投标截止日期为准）承担过</w:t>
            </w:r>
            <w:r>
              <w:rPr>
                <w:rFonts w:ascii="宋体" w:hAnsi="宋体" w:cs="宋体" w:hint="eastAsia"/>
                <w:color w:val="auto"/>
                <w:szCs w:val="21"/>
                <w:highlight w:val="none"/>
                <w:lang w:eastAsia="zh-CN"/>
              </w:rPr>
              <w:t>政府部门或行政事业单位</w:t>
            </w:r>
            <w:r>
              <w:rPr>
                <w:rFonts w:ascii="宋体" w:hAnsi="宋体" w:cs="宋体" w:hint="eastAsia"/>
                <w:color w:val="auto"/>
                <w:szCs w:val="21"/>
                <w:highlight w:val="none"/>
              </w:rPr>
              <w:t>新媒体运营项目（包含短视频、直播等），得80分； 在此基础上承担过省、市级残联机关运营项目的（包含短视频、直播等）加20分。本项最高100分。</w:t>
            </w:r>
          </w:p>
          <w:p>
            <w:pPr>
              <w:jc w:val="left"/>
              <w:rPr>
                <w:rFonts w:ascii="宋体" w:hAnsi="宋体" w:cs="宋体"/>
                <w:color w:val="auto"/>
                <w:szCs w:val="21"/>
                <w:highlight w:val="none"/>
              </w:rPr>
            </w:pPr>
            <w:r>
              <w:rPr>
                <w:rFonts w:ascii="宋体" w:hAnsi="宋体" w:cs="宋体" w:hint="eastAsia"/>
                <w:color w:val="auto"/>
                <w:szCs w:val="21"/>
                <w:highlight w:val="none"/>
              </w:rPr>
              <w:t>注：近年3年指（20</w:t>
            </w:r>
            <w:r>
              <w:rPr>
                <w:rFonts w:ascii="宋体" w:hAnsi="宋体" w:cs="宋体" w:hint="eastAsia"/>
                <w:color w:val="auto"/>
                <w:szCs w:val="21"/>
                <w:highlight w:val="none"/>
                <w:lang w:val="en-US" w:eastAsia="zh-CN"/>
              </w:rPr>
              <w:t>20</w:t>
            </w:r>
            <w:r>
              <w:rPr>
                <w:rFonts w:ascii="宋体" w:hAnsi="宋体" w:cs="宋体" w:hint="eastAsia"/>
                <w:color w:val="auto"/>
                <w:szCs w:val="21"/>
                <w:highlight w:val="none"/>
              </w:rPr>
              <w:t>年1月1日至本项目开标之日）。</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b/>
                <w:bCs/>
                <w:color w:val="auto"/>
                <w:szCs w:val="21"/>
                <w:highlight w:val="none"/>
              </w:rPr>
            </w:pPr>
            <w:r>
              <w:rPr>
                <w:rFonts w:ascii="宋体" w:hAnsi="宋体" w:cs="宋体" w:hint="eastAsia"/>
                <w:b/>
                <w:bCs/>
                <w:color w:val="auto"/>
                <w:szCs w:val="21"/>
                <w:highlight w:val="none"/>
              </w:rPr>
              <w:t>（二）评分依据：</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1.要求提供合同关键信息文件作为得分依据。</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2.通过合同关键信息无法判断是否得分的，还须同时提供能证明得分的其它证明资料，如项目报告或合同甲方出具的证明文件等。</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3.以上资料均要求提供扫描件，原件备查。评分中出现无证明资料或专家无法凭所提供资料判断是否得分的情况，一律作不得分处理。</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w:t>
            </w:r>
          </w:p>
        </w:tc>
        <w:tc>
          <w:tcPr>
            <w:tcW w:w="1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投标人网站及微信公众号运营情况</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3</w:t>
            </w:r>
          </w:p>
        </w:tc>
        <w:tc>
          <w:tcPr>
            <w:tcW w:w="4966"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numPr>
                <w:ilvl w:val="0"/>
                <w:numId w:val="0"/>
              </w:numPr>
              <w:kinsoku/>
              <w:overflowPunct/>
              <w:topLinePunct w:val="0"/>
              <w:autoSpaceDE/>
              <w:autoSpaceDN/>
              <w:bidi w:val="0"/>
              <w:adjustRightInd/>
              <w:snapToGrid/>
              <w:spacing w:line="240" w:lineRule="auto"/>
              <w:jc w:val="left"/>
              <w:textAlignment w:val="auto"/>
              <w:rPr>
                <w:rFonts w:ascii="宋体" w:hAnsi="宋体" w:cs="宋体"/>
                <w:b/>
                <w:bCs/>
                <w:color w:val="auto"/>
                <w:szCs w:val="21"/>
                <w:highlight w:val="none"/>
              </w:rPr>
            </w:pPr>
            <w:r>
              <w:rPr>
                <w:rFonts w:ascii="宋体" w:hAnsi="宋体" w:cs="宋体" w:hint="eastAsia"/>
                <w:b/>
                <w:bCs/>
                <w:color w:val="auto"/>
                <w:szCs w:val="21"/>
                <w:highlight w:val="none"/>
                <w:lang w:eastAsia="zh-CN"/>
              </w:rPr>
              <w:t>（一）</w:t>
            </w:r>
            <w:r>
              <w:rPr>
                <w:rFonts w:ascii="宋体" w:hAnsi="宋体" w:cs="宋体" w:hint="eastAsia"/>
                <w:b/>
                <w:bCs/>
                <w:color w:val="auto"/>
                <w:szCs w:val="21"/>
                <w:highlight w:val="none"/>
              </w:rPr>
              <w:t>评分内容：</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highlight w:val="none"/>
              </w:rPr>
            </w:pPr>
            <w:r>
              <w:rPr>
                <w:rFonts w:ascii="宋体" w:hAnsi="宋体" w:cs="宋体" w:hint="eastAsia"/>
                <w:color w:val="auto"/>
                <w:highlight w:val="none"/>
              </w:rPr>
              <w:t>1.可提供网站安全保障，自有国家信息安全等保三级服务器的，得50分。</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2.承担过</w:t>
            </w:r>
            <w:r>
              <w:rPr>
                <w:rFonts w:ascii="宋体" w:hAnsi="宋体" w:cs="宋体" w:hint="eastAsia"/>
                <w:color w:val="auto"/>
                <w:szCs w:val="21"/>
                <w:highlight w:val="none"/>
                <w:lang w:eastAsia="zh-CN"/>
              </w:rPr>
              <w:t>政府部门或行政事业单位</w:t>
            </w:r>
            <w:r>
              <w:rPr>
                <w:rFonts w:ascii="宋体" w:hAnsi="宋体" w:cs="宋体" w:hint="eastAsia"/>
                <w:color w:val="auto"/>
                <w:szCs w:val="21"/>
                <w:highlight w:val="none"/>
              </w:rPr>
              <w:t>网站及微信公众号、微博运营的，得50分。</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b/>
                <w:bCs/>
                <w:color w:val="auto"/>
                <w:szCs w:val="21"/>
                <w:highlight w:val="none"/>
              </w:rPr>
            </w:pPr>
            <w:r>
              <w:rPr>
                <w:rFonts w:ascii="宋体" w:hAnsi="宋体" w:cs="宋体" w:hint="eastAsia"/>
                <w:b/>
                <w:bCs/>
                <w:color w:val="auto"/>
                <w:szCs w:val="21"/>
                <w:highlight w:val="none"/>
              </w:rPr>
              <w:t>（二）评分依据：</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以上资料均要求提供资质扫描件、合同或官方网站截图作为得分依据，原件备查。评分中出现无证明资料或专家无法凭所提供资料判断是否得分的情况，一律作不得分处理。</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w:t>
            </w:r>
          </w:p>
        </w:tc>
        <w:tc>
          <w:tcPr>
            <w:tcW w:w="1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投标人获奖情况</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2</w:t>
            </w:r>
          </w:p>
        </w:tc>
        <w:tc>
          <w:tcPr>
            <w:tcW w:w="4966"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b/>
                <w:bCs/>
                <w:color w:val="auto"/>
                <w:szCs w:val="21"/>
                <w:highlight w:val="none"/>
              </w:rPr>
            </w:pPr>
            <w:r>
              <w:rPr>
                <w:rFonts w:ascii="宋体" w:hAnsi="宋体" w:cs="宋体" w:hint="eastAsia"/>
                <w:b/>
                <w:bCs/>
                <w:color w:val="auto"/>
                <w:szCs w:val="21"/>
                <w:highlight w:val="none"/>
              </w:rPr>
              <w:t>(一) 评分内容：</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获得省市级及以上单位作为指导、主办单位之一身份颁发的荣誉证书，满足任意一项得50分，两项都满足得100分；其余不得分。</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b/>
                <w:bCs/>
                <w:color w:val="auto"/>
                <w:szCs w:val="21"/>
                <w:highlight w:val="none"/>
              </w:rPr>
            </w:pPr>
            <w:r>
              <w:rPr>
                <w:rFonts w:ascii="宋体" w:hAnsi="宋体" w:cs="宋体" w:hint="eastAsia"/>
                <w:b/>
                <w:bCs/>
                <w:color w:val="auto"/>
                <w:szCs w:val="21"/>
                <w:highlight w:val="none"/>
              </w:rPr>
              <w:t>（二）评分依据：</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1.要求提供奖项照片或获奖（荣誉）证书等证明材料作为得分依据。</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2.以上资料均要求提供扫描件（或官方网站截图），原件备查。评分中出现无证明资料或专家无法凭所提供资料判断是否得分的情况，一律作不得分处理。</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w:t>
            </w:r>
          </w:p>
        </w:tc>
        <w:tc>
          <w:tcPr>
            <w:tcW w:w="1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拟安排的项目负责人情况（仅限一人）</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6</w:t>
            </w:r>
          </w:p>
        </w:tc>
        <w:tc>
          <w:tcPr>
            <w:tcW w:w="4966"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b/>
                <w:bCs/>
                <w:color w:val="auto"/>
                <w:szCs w:val="21"/>
                <w:highlight w:val="none"/>
              </w:rPr>
            </w:pPr>
            <w:r>
              <w:rPr>
                <w:rFonts w:ascii="宋体" w:hAnsi="宋体" w:cs="宋体" w:hint="eastAsia"/>
                <w:b/>
                <w:bCs/>
                <w:color w:val="auto"/>
                <w:szCs w:val="21"/>
                <w:highlight w:val="none"/>
              </w:rPr>
              <w:t>（一）评分内容：</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要求项目负责人具有丰富的宣传和媒体从业经验。同时满足以下条件：</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1.曾担任过政府机关新媒体项目负责人的得30分</w:t>
            </w:r>
            <w:r>
              <w:rPr>
                <w:rFonts w:ascii="宋体" w:hAnsi="宋体" w:cs="宋体" w:hint="eastAsia"/>
                <w:color w:val="auto"/>
                <w:szCs w:val="21"/>
                <w:highlight w:val="none"/>
                <w:lang w:eastAsia="zh-CN"/>
              </w:rPr>
              <w:t>；</w:t>
            </w:r>
            <w:r>
              <w:rPr>
                <w:rFonts w:ascii="宋体" w:hAnsi="宋体" w:cs="宋体" w:hint="eastAsia"/>
                <w:color w:val="auto"/>
                <w:szCs w:val="21"/>
                <w:highlight w:val="none"/>
              </w:rPr>
              <w:t>在此基础上承担过省、市级残联机关新媒体宣传推广项目负责人的加20分。</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2.具有新闻学、传播学专业本科</w:t>
            </w:r>
            <w:r>
              <w:rPr>
                <w:rFonts w:ascii="宋体" w:hAnsi="宋体" w:cs="宋体" w:hint="eastAsia"/>
                <w:color w:val="auto"/>
                <w:szCs w:val="21"/>
                <w:highlight w:val="none"/>
                <w:lang w:eastAsia="zh-CN"/>
              </w:rPr>
              <w:t>及</w:t>
            </w:r>
            <w:r>
              <w:rPr>
                <w:rFonts w:ascii="宋体" w:hAnsi="宋体" w:cs="宋体" w:hint="eastAsia"/>
                <w:color w:val="auto"/>
                <w:szCs w:val="21"/>
                <w:highlight w:val="none"/>
              </w:rPr>
              <w:t>以上学历得50分，否则不得分。</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b/>
                <w:bCs/>
                <w:color w:val="auto"/>
                <w:szCs w:val="21"/>
                <w:highlight w:val="none"/>
              </w:rPr>
            </w:pPr>
            <w:r>
              <w:rPr>
                <w:rFonts w:ascii="宋体" w:hAnsi="宋体" w:cs="宋体" w:hint="eastAsia"/>
                <w:b/>
                <w:bCs/>
                <w:color w:val="auto"/>
                <w:szCs w:val="21"/>
                <w:highlight w:val="none"/>
              </w:rPr>
              <w:t>（二）评分依据：</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1.要求提供通过投标人购买的项目负责人开标前三个月的社保证明（若为新成立的企业，仅需提供自企业成立以来的社保记录）及相关证明资料作为得分依据。</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2.以上资料均要求提供扫描件（或官方网站截图），原件备查。评分中出现无证明资料或专家无法凭所提供资料判断是否得分的情况，一律作不得分处理。</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3.社保证明资料应当至少包含医疗保险，证明资料可为社保收缴部门盖章证明资料、社保窗口打印资料或社保官网截图。</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4.如涉及考察人员工作经验，要求提供项目合同关键信息作为得分依据，通过合同关键信息无法判断是否得分的，还须同时提供合同甲方出具的证明文件。</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6</w:t>
            </w:r>
          </w:p>
        </w:tc>
        <w:tc>
          <w:tcPr>
            <w:tcW w:w="1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拟安排的项目主要团队成员（主要技术人员）情况（项目负责人除外）</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6</w:t>
            </w:r>
          </w:p>
        </w:tc>
        <w:tc>
          <w:tcPr>
            <w:tcW w:w="4966"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b/>
                <w:bCs/>
                <w:color w:val="auto"/>
                <w:szCs w:val="21"/>
                <w:highlight w:val="none"/>
              </w:rPr>
            </w:pPr>
            <w:r>
              <w:rPr>
                <w:rFonts w:ascii="宋体" w:hAnsi="宋体" w:cs="宋体" w:hint="eastAsia"/>
                <w:b/>
                <w:bCs/>
                <w:color w:val="auto"/>
                <w:szCs w:val="21"/>
                <w:highlight w:val="none"/>
              </w:rPr>
              <w:t>（一）评分内容：</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1.项目团队成员人数在10人及以上得20分，少于10人不得分；</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2.项目团队成员全员具有新媒体编辑、运营、推广、项目管理等相关岗位经验得30分，否则不得分；</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3.项目团队成员</w:t>
            </w:r>
            <w:r>
              <w:rPr>
                <w:rFonts w:ascii="宋体" w:hAnsi="宋体" w:cs="宋体" w:hint="eastAsia"/>
                <w:color w:val="auto"/>
                <w:szCs w:val="21"/>
                <w:highlight w:val="none"/>
                <w:lang w:eastAsia="zh-CN"/>
              </w:rPr>
              <w:t>中有</w:t>
            </w:r>
            <w:r>
              <w:rPr>
                <w:rFonts w:ascii="宋体" w:hAnsi="宋体" w:cs="宋体" w:hint="eastAsia"/>
                <w:color w:val="auto"/>
                <w:szCs w:val="21"/>
                <w:highlight w:val="none"/>
                <w:lang w:val="en-US" w:eastAsia="zh-CN"/>
              </w:rPr>
              <w:t>5人及</w:t>
            </w:r>
            <w:r>
              <w:rPr>
                <w:rFonts w:ascii="宋体" w:hAnsi="宋体" w:cs="宋体" w:hint="eastAsia"/>
                <w:color w:val="auto"/>
                <w:szCs w:val="21"/>
                <w:highlight w:val="none"/>
              </w:rPr>
              <w:t>以上具有新闻学、传播学、广告学类相关本科</w:t>
            </w:r>
            <w:r>
              <w:rPr>
                <w:rFonts w:ascii="宋体" w:hAnsi="宋体" w:cs="宋体" w:hint="eastAsia"/>
                <w:color w:val="auto"/>
                <w:szCs w:val="21"/>
                <w:highlight w:val="none"/>
                <w:lang w:eastAsia="zh-CN"/>
              </w:rPr>
              <w:t>及</w:t>
            </w:r>
            <w:r>
              <w:rPr>
                <w:rFonts w:ascii="宋体" w:hAnsi="宋体" w:cs="宋体" w:hint="eastAsia"/>
                <w:color w:val="auto"/>
                <w:szCs w:val="21"/>
                <w:highlight w:val="none"/>
              </w:rPr>
              <w:t>以上学历得30分，否则不得分。</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4.项目团队成员</w:t>
            </w:r>
            <w:r>
              <w:rPr>
                <w:rFonts w:ascii="宋体" w:hAnsi="宋体" w:cs="宋体" w:hint="eastAsia"/>
                <w:color w:val="auto"/>
                <w:szCs w:val="21"/>
                <w:highlight w:val="none"/>
                <w:lang w:val="en-US" w:eastAsia="zh-CN"/>
              </w:rPr>
              <w:t>5人及</w:t>
            </w:r>
            <w:r>
              <w:rPr>
                <w:rFonts w:ascii="宋体" w:hAnsi="宋体" w:cs="宋体" w:hint="eastAsia"/>
                <w:color w:val="auto"/>
                <w:szCs w:val="21"/>
                <w:highlight w:val="none"/>
              </w:rPr>
              <w:t>以上具有政府机关新媒体项目（包含短视频、直播等）执行经验得</w:t>
            </w:r>
            <w:r>
              <w:rPr>
                <w:rFonts w:ascii="宋体" w:hAnsi="宋体" w:cs="宋体"/>
                <w:color w:val="auto"/>
                <w:szCs w:val="21"/>
                <w:highlight w:val="none"/>
              </w:rPr>
              <w:t>20</w:t>
            </w:r>
            <w:r>
              <w:rPr>
                <w:rFonts w:ascii="宋体" w:hAnsi="宋体" w:cs="宋体" w:hint="eastAsia"/>
                <w:color w:val="auto"/>
                <w:szCs w:val="21"/>
                <w:highlight w:val="none"/>
              </w:rPr>
              <w:t>分，否则不得分。</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b/>
                <w:bCs/>
                <w:color w:val="auto"/>
                <w:szCs w:val="21"/>
                <w:highlight w:val="none"/>
              </w:rPr>
            </w:pPr>
            <w:r>
              <w:rPr>
                <w:rFonts w:ascii="宋体" w:hAnsi="宋体" w:cs="宋体" w:hint="eastAsia"/>
                <w:b/>
                <w:bCs/>
                <w:color w:val="auto"/>
                <w:szCs w:val="21"/>
                <w:highlight w:val="none"/>
              </w:rPr>
              <w:t>（二）评分依据：</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1.要求提供通过投标人购买的项目主要团队成员（主要技术人员）开标前三个月的社保证明（若为新成立的企业，仅需提供自企业成立以来的社保记录）及相关证明资料作为得分依据。</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2.以上资料均要求提供扫描件（或官方网站截图），原件备查。评分中出现无证明资料或专家无法凭所提供资料判断是否得分的情况，一律作不得分处理。</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3.社保证明资料应当至少包含医疗保险，证明资料可为社保收缴部门盖章证明资料、社保窗口打印资料或社保官网截图。</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4.如涉及考察人员工作经验，要求提供项目合同关键信息作为得分依据，通过合同关键信息无法判断是否得分的，还须同时提供合同甲方出具的证明文件。</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w:t>
            </w:r>
          </w:p>
        </w:tc>
        <w:tc>
          <w:tcPr>
            <w:tcW w:w="1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环保执行情况</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2</w:t>
            </w:r>
          </w:p>
        </w:tc>
        <w:tc>
          <w:tcPr>
            <w:tcW w:w="4966"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8</w:t>
            </w:r>
          </w:p>
        </w:tc>
        <w:tc>
          <w:tcPr>
            <w:tcW w:w="1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服务网点</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3</w:t>
            </w:r>
          </w:p>
        </w:tc>
        <w:tc>
          <w:tcPr>
            <w:tcW w:w="4966"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1.深圳供应商，或非深圳供应商但在深圳有合法注册的分公司（或售后机构）（分公司的必须提供分公司营业执照扫描件，售后机构必须同时提供售后服务合作合同及售后机构营业执照扫描件作为得分依据，原件备查）的，得100分；否则不得分。</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2.外地供应商承诺：中标后设立本地经营（服务）网点的，提供承诺文件（格式自定）的，得</w:t>
            </w:r>
            <w:r>
              <w:rPr>
                <w:rFonts w:ascii="宋体" w:hAnsi="宋体" w:cs="宋体" w:hint="eastAsia"/>
                <w:color w:val="auto"/>
                <w:szCs w:val="21"/>
                <w:highlight w:val="none"/>
                <w:lang w:val="en-US" w:eastAsia="zh-CN"/>
              </w:rPr>
              <w:t>100</w:t>
            </w:r>
            <w:r>
              <w:rPr>
                <w:rFonts w:ascii="宋体" w:hAnsi="宋体" w:cs="宋体" w:hint="eastAsia"/>
                <w:color w:val="auto"/>
                <w:szCs w:val="21"/>
                <w:highlight w:val="none"/>
              </w:rPr>
              <w:t>分；未提供承诺或承诺内容不满足要求均不得分。</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4</w:t>
            </w:r>
          </w:p>
        </w:tc>
        <w:tc>
          <w:tcPr>
            <w:tcW w:w="2801" w:type="dxa"/>
            <w:gridSpan w:val="3"/>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诚信情况</w:t>
            </w:r>
          </w:p>
        </w:tc>
        <w:tc>
          <w:tcPr>
            <w:tcW w:w="4966"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hint="eastAsia"/>
                <w:b/>
                <w:bCs/>
                <w:color w:val="auto"/>
                <w:szCs w:val="21"/>
                <w:highlight w:val="none"/>
                <w:lang w:eastAsia="zh-CN"/>
              </w:rPr>
            </w:pPr>
            <w:r>
              <w:rPr>
                <w:rFonts w:asciiTheme="majorEastAsia" w:eastAsiaTheme="majorEastAsia" w:hAnsiTheme="majorEastAsia" w:cstheme="majorEastAsia" w:hint="eastAsia"/>
                <w:b/>
                <w:bCs/>
                <w:color w:val="auto"/>
                <w:szCs w:val="21"/>
                <w:highlight w:val="none"/>
                <w:lang w:val="en-US" w:eastAsia="zh-CN"/>
              </w:rPr>
              <w:t>5</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val="restart"/>
            <w:tcBorders>
              <w:top w:val="single" w:sz="4" w:space="0" w:color="auto"/>
              <w:left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序号</w:t>
            </w:r>
          </w:p>
        </w:tc>
        <w:tc>
          <w:tcPr>
            <w:tcW w:w="1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评分因素</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hint="eastAsia"/>
                <w:color w:val="auto"/>
                <w:szCs w:val="21"/>
                <w:highlight w:val="none"/>
                <w:lang w:eastAsia="zh-CN"/>
              </w:rPr>
            </w:pPr>
            <w:r>
              <w:rPr>
                <w:rFonts w:asciiTheme="majorEastAsia" w:eastAsiaTheme="majorEastAsia" w:hAnsiTheme="majorEastAsia" w:cstheme="majorEastAsia" w:hint="eastAsia"/>
                <w:color w:val="auto"/>
                <w:szCs w:val="21"/>
                <w:highlight w:val="none"/>
              </w:rPr>
              <w:t>权重</w:t>
            </w:r>
            <w:r>
              <w:rPr>
                <w:rFonts w:asciiTheme="majorEastAsia" w:eastAsiaTheme="majorEastAsia" w:hAnsiTheme="majorEastAsia" w:cstheme="majorEastAsia" w:hint="eastAsia"/>
                <w:color w:val="auto"/>
                <w:szCs w:val="21"/>
                <w:highlight w:val="none"/>
                <w:lang w:eastAsia="zh-CN"/>
              </w:rPr>
              <w:t>（</w:t>
            </w:r>
            <w:r>
              <w:rPr>
                <w:rFonts w:asciiTheme="majorEastAsia" w:eastAsiaTheme="majorEastAsia" w:hAnsiTheme="majorEastAsia" w:cstheme="majorEastAsia" w:hint="eastAsia"/>
                <w:color w:val="auto"/>
                <w:szCs w:val="21"/>
                <w:highlight w:val="none"/>
                <w:lang w:val="en-US" w:eastAsia="zh-CN"/>
              </w:rPr>
              <w:t>%</w:t>
            </w:r>
            <w:r>
              <w:rPr>
                <w:rFonts w:asciiTheme="majorEastAsia" w:eastAsiaTheme="majorEastAsia" w:hAnsiTheme="majorEastAsia" w:cstheme="majorEastAsia" w:hint="eastAsia"/>
                <w:color w:val="auto"/>
                <w:szCs w:val="21"/>
                <w:highlight w:val="none"/>
                <w:lang w:eastAsia="zh-CN"/>
              </w:rPr>
              <w:t>）</w:t>
            </w:r>
          </w:p>
        </w:tc>
        <w:tc>
          <w:tcPr>
            <w:tcW w:w="496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评分准则</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w:t>
            </w:r>
          </w:p>
        </w:tc>
        <w:tc>
          <w:tcPr>
            <w:tcW w:w="1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诚信管理情况</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hint="eastAsia"/>
                <w:color w:val="auto"/>
                <w:szCs w:val="21"/>
                <w:highlight w:val="none"/>
                <w:lang w:eastAsia="zh-CN"/>
              </w:rPr>
            </w:pPr>
            <w:r>
              <w:rPr>
                <w:rFonts w:asciiTheme="majorEastAsia" w:eastAsiaTheme="majorEastAsia" w:hAnsiTheme="majorEastAsia" w:cstheme="majorEastAsia" w:hint="eastAsia"/>
                <w:color w:val="auto"/>
                <w:szCs w:val="21"/>
                <w:highlight w:val="none"/>
                <w:lang w:val="en-US" w:eastAsia="zh-CN"/>
              </w:rPr>
              <w:t>5</w:t>
            </w:r>
          </w:p>
        </w:tc>
        <w:tc>
          <w:tcPr>
            <w:tcW w:w="496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投标人在</w:t>
            </w:r>
            <w:r>
              <w:rPr>
                <w:rFonts w:ascii="宋体" w:hAnsi="宋体" w:hint="eastAsia"/>
                <w:color w:val="auto"/>
                <w:szCs w:val="21"/>
                <w:highlight w:val="none"/>
              </w:rPr>
              <w:t>参与</w:t>
            </w:r>
            <w:r>
              <w:rPr>
                <w:rFonts w:ascii="宋体" w:hAnsi="宋体" w:cs="宋体" w:hint="eastAsia"/>
                <w:color w:val="auto"/>
                <w:szCs w:val="21"/>
                <w:highlight w:val="none"/>
              </w:rPr>
              <w:t>政府采购活动中存在诚信相关问题且在主管部门相关处理措施实施期限内的，本项不得分，否则得满分。投标人无需提供任何证明材料，由工作人员依据</w:t>
            </w:r>
            <w:r>
              <w:rPr>
                <w:rFonts w:asciiTheme="majorEastAsia" w:eastAsiaTheme="majorEastAsia" w:hAnsiTheme="majorEastAsia" w:cstheme="majorEastAsia" w:hint="eastAsia"/>
                <w:color w:val="auto"/>
                <w:szCs w:val="21"/>
                <w:highlight w:val="none"/>
              </w:rPr>
              <w:t>深圳公共资源交易中心网站</w:t>
            </w:r>
            <w:r>
              <w:rPr>
                <w:rFonts w:ascii="宋体" w:hAnsi="宋体" w:cs="宋体" w:hint="eastAsia"/>
                <w:color w:val="auto"/>
                <w:szCs w:val="21"/>
                <w:highlight w:val="none"/>
              </w:rPr>
              <w:t>系统查询结果向评审委员会提供相关信息。</w:t>
            </w:r>
          </w:p>
        </w:tc>
      </w:tr>
    </w:tbl>
    <w:p>
      <w:pPr>
        <w:jc w:val="left"/>
        <w:rPr>
          <w:rFonts w:asciiTheme="majorEastAsia" w:eastAsiaTheme="majorEastAsia" w:hAnsiTheme="majorEastAsia" w:cstheme="majorEastAsia"/>
          <w:b/>
          <w:bCs/>
          <w:color w:val="auto"/>
          <w:kern w:val="44"/>
          <w:sz w:val="36"/>
          <w:szCs w:val="36"/>
          <w:highlight w:val="none"/>
        </w:rPr>
      </w:pPr>
      <w:r>
        <w:rPr>
          <w:rFonts w:asciiTheme="majorEastAsia" w:eastAsiaTheme="majorEastAsia" w:hAnsiTheme="majorEastAsia" w:cstheme="majorEastAsia" w:hint="eastAsia"/>
          <w:color w:val="auto"/>
          <w:highlight w:val="none"/>
        </w:rPr>
        <w:br w:type="page"/>
      </w:r>
    </w:p>
    <w:p>
      <w:pPr>
        <w:pStyle w:val="Heading2"/>
        <w:rPr>
          <w:rFonts w:ascii="微软雅黑" w:eastAsia="微软雅黑" w:hAnsi="微软雅黑" w:cs="微软雅黑"/>
          <w:b/>
          <w:bCs/>
          <w:color w:val="auto"/>
          <w:sz w:val="32"/>
          <w:szCs w:val="32"/>
          <w:highlight w:val="none"/>
        </w:rPr>
      </w:pPr>
      <w:bookmarkStart w:id="1" w:name="bt本工程承诺书"/>
      <w:bookmarkEnd w:id="1"/>
      <w:bookmarkStart w:id="2" w:name="bt商务标投标文件格式"/>
      <w:bookmarkEnd w:id="2"/>
      <w:bookmarkStart w:id="3" w:name="合同格式"/>
      <w:bookmarkEnd w:id="3"/>
      <w:bookmarkStart w:id="4" w:name="bt说明"/>
      <w:bookmarkEnd w:id="4"/>
      <w:bookmarkStart w:id="5" w:name="bt其他资料由投标人自定"/>
      <w:bookmarkEnd w:id="5"/>
      <w:bookmarkStart w:id="6" w:name="bt投标文件签署授权委托书"/>
      <w:bookmarkEnd w:id="6"/>
      <w:bookmarkStart w:id="7" w:name="bt投标函"/>
      <w:bookmarkEnd w:id="7"/>
      <w:bookmarkStart w:id="8" w:name="bt投标报价汇总表"/>
      <w:bookmarkEnd w:id="8"/>
      <w:bookmarkStart w:id="9" w:name="bt开标一览表"/>
      <w:bookmarkEnd w:id="9"/>
      <w:bookmarkStart w:id="10" w:name="bt其他资料2"/>
      <w:bookmarkEnd w:id="10"/>
      <w:bookmarkStart w:id="11" w:name="bt合同条款"/>
      <w:bookmarkEnd w:id="11"/>
      <w:bookmarkStart w:id="12" w:name="bt技术标投标文件格式"/>
      <w:bookmarkEnd w:id="12"/>
      <w:bookmarkStart w:id="13" w:name="bt投标人须知"/>
      <w:bookmarkEnd w:id="13"/>
      <w:bookmarkStart w:id="14" w:name="bt投标人情况介绍"/>
      <w:bookmarkEnd w:id="14"/>
      <w:bookmarkStart w:id="15" w:name="bt合同条款及格式"/>
      <w:bookmarkEnd w:id="15"/>
      <w:bookmarkStart w:id="16" w:name="bt合同格式"/>
      <w:bookmarkEnd w:id="16"/>
      <w:bookmarkStart w:id="17" w:name="bt项目管理班子配备情况"/>
      <w:bookmarkEnd w:id="17"/>
      <w:r>
        <w:rPr>
          <w:rFonts w:ascii="微软雅黑" w:eastAsia="微软雅黑" w:hAnsi="微软雅黑" w:cs="微软雅黑" w:hint="eastAsia"/>
          <w:b/>
          <w:bCs/>
          <w:color w:val="auto"/>
          <w:sz w:val="32"/>
          <w:szCs w:val="32"/>
          <w:highlight w:val="none"/>
        </w:rPr>
        <w:t>第一章  招标公告</w:t>
      </w:r>
    </w:p>
    <w:p>
      <w:pPr>
        <w:pBdr>
          <w:top w:val="single" w:sz="4" w:space="1" w:color="auto"/>
          <w:left w:val="single" w:sz="4" w:space="4" w:color="auto"/>
          <w:bottom w:val="single" w:sz="4" w:space="1" w:color="auto"/>
          <w:right w:val="single" w:sz="4" w:space="4" w:color="auto"/>
        </w:pBd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b/>
          <w:color w:val="auto"/>
          <w:szCs w:val="21"/>
          <w:highlight w:val="none"/>
        </w:rPr>
        <w:t>项目概况：</w:t>
      </w:r>
      <w:r>
        <w:rPr>
          <w:rFonts w:asciiTheme="majorEastAsia" w:eastAsiaTheme="majorEastAsia" w:hAnsiTheme="majorEastAsia" w:cstheme="majorEastAsia" w:hint="eastAsia"/>
          <w:color w:val="auto"/>
          <w:szCs w:val="21"/>
          <w:highlight w:val="none"/>
          <w:lang w:eastAsia="zh-CN"/>
        </w:rPr>
        <w:t>市残联新媒体宣传</w:t>
      </w:r>
      <w:r>
        <w:rPr>
          <w:rFonts w:asciiTheme="majorEastAsia" w:eastAsiaTheme="majorEastAsia" w:hAnsiTheme="majorEastAsia" w:cstheme="majorEastAsia" w:hint="eastAsia"/>
          <w:color w:val="auto"/>
          <w:szCs w:val="21"/>
          <w:highlight w:val="none"/>
        </w:rPr>
        <w:t>招标项目的潜在投标人应在（</w:t>
      </w:r>
      <w:r>
        <w:rPr>
          <w:rFonts w:asciiTheme="minorEastAsia" w:eastAsiaTheme="minorEastAsia" w:hAnsiTheme="minorEastAsia" w:hint="eastAsia"/>
          <w:color w:val="auto"/>
          <w:szCs w:val="21"/>
          <w:highlight w:val="none"/>
        </w:rPr>
        <w:t>本公告附件）</w:t>
      </w:r>
      <w:r>
        <w:rPr>
          <w:rFonts w:asciiTheme="majorEastAsia" w:eastAsiaTheme="majorEastAsia" w:hAnsiTheme="majorEastAsia" w:cstheme="majorEastAsia" w:hint="eastAsia"/>
          <w:color w:val="auto"/>
          <w:szCs w:val="21"/>
          <w:highlight w:val="none"/>
        </w:rPr>
        <w:t>获取招标文件，并于2022年XX月XX日 XX: XX时</w:t>
      </w:r>
      <w:r>
        <w:rPr>
          <w:rFonts w:asciiTheme="majorEastAsia" w:eastAsiaTheme="majorEastAsia" w:hAnsiTheme="majorEastAsia" w:cstheme="majorEastAsia" w:hint="eastAsia"/>
          <w:bCs/>
          <w:color w:val="auto"/>
          <w:szCs w:val="21"/>
          <w:highlight w:val="none"/>
        </w:rPr>
        <w:t>（北京时间）前递交投标文件</w:t>
      </w:r>
      <w:r>
        <w:rPr>
          <w:rFonts w:asciiTheme="majorEastAsia" w:eastAsiaTheme="majorEastAsia" w:hAnsiTheme="majorEastAsia" w:cstheme="majorEastAsia" w:hint="eastAsia"/>
          <w:color w:val="auto"/>
          <w:szCs w:val="21"/>
          <w:highlight w:val="none"/>
        </w:rPr>
        <w:t>。</w:t>
      </w:r>
    </w:p>
    <w:p>
      <w:pPr>
        <w:spacing w:line="420" w:lineRule="exact"/>
        <w:rPr>
          <w:rFonts w:asciiTheme="majorEastAsia" w:eastAsiaTheme="majorEastAsia" w:hAnsiTheme="majorEastAsia" w:cstheme="majorEastAsia"/>
          <w:color w:val="auto"/>
          <w:szCs w:val="21"/>
          <w:highlight w:val="none"/>
        </w:rPr>
      </w:pPr>
    </w:p>
    <w:p>
      <w:pPr>
        <w:spacing w:line="42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一、项目基本情况</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1、项目编号：XXXXXXXX</w:t>
      </w:r>
    </w:p>
    <w:p>
      <w:pPr>
        <w:spacing w:line="420" w:lineRule="exact"/>
        <w:ind w:firstLine="420" w:firstLineChars="200"/>
        <w:rPr>
          <w:rFonts w:asciiTheme="majorEastAsia" w:eastAsiaTheme="majorEastAsia" w:hAnsiTheme="majorEastAsia" w:cstheme="majorEastAsia" w:hint="eastAsia"/>
          <w:color w:val="auto"/>
          <w:szCs w:val="21"/>
          <w:highlight w:val="none"/>
          <w:lang w:eastAsia="zh-CN"/>
        </w:rPr>
      </w:pPr>
      <w:r>
        <w:rPr>
          <w:rFonts w:asciiTheme="majorEastAsia" w:eastAsiaTheme="majorEastAsia" w:hAnsiTheme="majorEastAsia" w:cstheme="majorEastAsia" w:hint="eastAsia"/>
          <w:color w:val="auto"/>
          <w:szCs w:val="21"/>
          <w:highlight w:val="none"/>
        </w:rPr>
        <w:t>2、项目名称：</w:t>
      </w:r>
      <w:r>
        <w:rPr>
          <w:rFonts w:asciiTheme="majorEastAsia" w:eastAsiaTheme="majorEastAsia" w:hAnsiTheme="majorEastAsia" w:cstheme="majorEastAsia" w:hint="eastAsia"/>
          <w:color w:val="auto"/>
          <w:szCs w:val="21"/>
          <w:highlight w:val="none"/>
          <w:lang w:eastAsia="zh-CN"/>
        </w:rPr>
        <w:t>市残联新媒体宣传</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3、预算金额：人民币</w:t>
      </w:r>
      <w:r>
        <w:rPr>
          <w:rFonts w:asciiTheme="majorEastAsia" w:eastAsiaTheme="majorEastAsia" w:hAnsiTheme="majorEastAsia" w:cstheme="majorEastAsia" w:hint="eastAsia"/>
          <w:color w:val="auto"/>
          <w:szCs w:val="21"/>
          <w:highlight w:val="none"/>
          <w:lang w:val="en-US" w:eastAsia="zh-CN"/>
        </w:rPr>
        <w:t>408.3</w:t>
      </w:r>
      <w:r>
        <w:rPr>
          <w:rFonts w:asciiTheme="majorEastAsia" w:eastAsiaTheme="majorEastAsia" w:hAnsiTheme="majorEastAsia" w:cstheme="majorEastAsia" w:hint="eastAsia"/>
          <w:color w:val="auto"/>
          <w:szCs w:val="21"/>
          <w:highlight w:val="none"/>
        </w:rPr>
        <w:t>万元</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4、最高限价（如有）：/</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5、采购需求：详见招标文件相关内容</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6、合同履行期限：详见招标文件相关内容</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7、本项目是否接受联合体投标：否</w:t>
      </w:r>
    </w:p>
    <w:p>
      <w:pPr>
        <w:spacing w:line="42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二、投标人的资格要求</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1、满足《中华人民共和国政府采购法》第二十二条规定；（由供应商在《政府采购投标及履约承诺函》中作出声明）</w:t>
      </w:r>
    </w:p>
    <w:p>
      <w:pPr>
        <w:spacing w:line="420" w:lineRule="exact"/>
        <w:ind w:firstLine="420" w:firstLineChars="200"/>
        <w:rPr>
          <w:rFonts w:asciiTheme="majorEastAsia" w:eastAsiaTheme="majorEastAsia" w:hAnsiTheme="majorEastAsia" w:cstheme="majorEastAsia"/>
          <w:i/>
          <w:iCs/>
          <w:color w:val="auto"/>
          <w:szCs w:val="21"/>
          <w:highlight w:val="none"/>
        </w:rPr>
      </w:pPr>
      <w:r>
        <w:rPr>
          <w:rFonts w:asciiTheme="majorEastAsia" w:eastAsiaTheme="majorEastAsia" w:hAnsiTheme="majorEastAsia" w:cstheme="majorEastAsia" w:hint="eastAsia"/>
          <w:color w:val="auto"/>
          <w:szCs w:val="21"/>
          <w:highlight w:val="none"/>
        </w:rPr>
        <w:t>2、落实政府采购政策需满足的资格要求：</w:t>
      </w:r>
      <w:r>
        <w:rPr>
          <w:rFonts w:asciiTheme="majorEastAsia" w:eastAsiaTheme="majorEastAsia" w:hAnsiTheme="majorEastAsia" w:cstheme="majorEastAsia" w:hint="eastAsia"/>
          <w:b/>
          <w:bCs/>
          <w:color w:val="auto"/>
          <w:szCs w:val="21"/>
          <w:highlight w:val="none"/>
        </w:rPr>
        <w:t>本项目不属于专门面向中小企业采购的项目</w:t>
      </w:r>
    </w:p>
    <w:p>
      <w:pPr>
        <w:spacing w:line="420" w:lineRule="exact"/>
        <w:ind w:firstLine="420" w:firstLineChars="200"/>
        <w:rPr>
          <w:rFonts w:asciiTheme="majorEastAsia" w:eastAsiaTheme="majorEastAsia" w:hAnsiTheme="majorEastAsia" w:cstheme="majorEastAsia"/>
          <w:i/>
          <w:iCs/>
          <w:color w:val="auto"/>
          <w:szCs w:val="21"/>
          <w:highlight w:val="none"/>
        </w:rPr>
      </w:pPr>
      <w:r>
        <w:rPr>
          <w:rFonts w:asciiTheme="majorEastAsia" w:eastAsiaTheme="majorEastAsia" w:hAnsiTheme="majorEastAsia" w:cstheme="majorEastAsia" w:hint="eastAsia"/>
          <w:color w:val="auto"/>
          <w:szCs w:val="21"/>
          <w:highlight w:val="none"/>
        </w:rPr>
        <w:t>3、本项目的特定资格要求：</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（1）具有独立法人资格或具有独立承担民事责任的能力的其他组织</w:t>
      </w:r>
      <w:r>
        <w:rPr>
          <w:rFonts w:asciiTheme="majorEastAsia" w:eastAsiaTheme="majorEastAsia" w:hAnsiTheme="majorEastAsia" w:cstheme="majorEastAsia" w:hint="eastAsia"/>
          <w:color w:val="auto"/>
          <w:szCs w:val="21"/>
          <w:highlight w:val="none"/>
          <w:lang w:eastAsia="zh-CN"/>
        </w:rPr>
        <w:t>；</w:t>
      </w:r>
      <w:r>
        <w:rPr>
          <w:rFonts w:asciiTheme="majorEastAsia" w:eastAsiaTheme="majorEastAsia" w:hAnsiTheme="majorEastAsia" w:cstheme="majorEastAsia" w:hint="eastAsia"/>
          <w:color w:val="auto"/>
          <w:szCs w:val="21"/>
          <w:highlight w:val="none"/>
        </w:rPr>
        <w:t>（提供营业证照等证书扫描件）</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（2）本项目不接受联合体投标；</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（3）参与本项目投标前三年内，在经营活动中没有重大违法记录</w:t>
      </w:r>
      <w:r>
        <w:rPr>
          <w:rFonts w:asciiTheme="majorEastAsia" w:eastAsiaTheme="majorEastAsia" w:hAnsiTheme="majorEastAsia" w:cstheme="majorEastAsia" w:hint="eastAsia"/>
          <w:color w:val="auto"/>
          <w:szCs w:val="21"/>
          <w:highlight w:val="none"/>
          <w:lang w:eastAsia="zh-CN"/>
        </w:rPr>
        <w:t>；</w:t>
      </w:r>
      <w:r>
        <w:rPr>
          <w:rFonts w:asciiTheme="majorEastAsia" w:eastAsiaTheme="majorEastAsia" w:hAnsiTheme="majorEastAsia" w:cstheme="majorEastAsia" w:hint="eastAsia"/>
          <w:color w:val="auto"/>
          <w:szCs w:val="21"/>
          <w:highlight w:val="none"/>
        </w:rPr>
        <w:t xml:space="preserve">（由供应商在《政府采购投标及履约承诺函》中作出声明）     </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（4）参与本项目政府采购活动时不存在被有关部门禁止参与政府采购活动且在有效期内的情况</w:t>
      </w:r>
      <w:r>
        <w:rPr>
          <w:rFonts w:asciiTheme="majorEastAsia" w:eastAsiaTheme="majorEastAsia" w:hAnsiTheme="majorEastAsia" w:cstheme="majorEastAsia" w:hint="eastAsia"/>
          <w:color w:val="auto"/>
          <w:szCs w:val="21"/>
          <w:highlight w:val="none"/>
          <w:lang w:eastAsia="zh-CN"/>
        </w:rPr>
        <w:t>；</w:t>
      </w:r>
      <w:r>
        <w:rPr>
          <w:rFonts w:asciiTheme="majorEastAsia" w:eastAsiaTheme="majorEastAsia" w:hAnsiTheme="majorEastAsia" w:cstheme="majorEastAsia" w:hint="eastAsia"/>
          <w:color w:val="auto"/>
          <w:szCs w:val="21"/>
          <w:highlight w:val="none"/>
        </w:rPr>
        <w:t xml:space="preserve">（由供应商在《政府采购投标及履约承诺函》中作出声明）    </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（5）参与政府采购项目投标的供应商未被列入失信被执行人、重大税收违法失信主体、政府采购严重违法失信行为记录名单</w:t>
      </w:r>
      <w:r>
        <w:rPr>
          <w:rFonts w:asciiTheme="majorEastAsia" w:eastAsiaTheme="majorEastAsia" w:hAnsiTheme="majorEastAsia" w:cstheme="majorEastAsia" w:hint="eastAsia"/>
          <w:color w:val="auto"/>
          <w:szCs w:val="21"/>
          <w:highlight w:val="none"/>
          <w:lang w:eastAsia="zh-CN"/>
        </w:rPr>
        <w:t>。</w:t>
      </w:r>
      <w:r>
        <w:rPr>
          <w:rFonts w:asciiTheme="majorEastAsia" w:eastAsiaTheme="majorEastAsia" w:hAnsiTheme="majorEastAsia" w:cstheme="majorEastAsia" w:hint="eastAsia"/>
          <w:color w:val="auto"/>
          <w:szCs w:val="21"/>
          <w:highlight w:val="none"/>
        </w:rPr>
        <w:t xml:space="preserve">（由供应商在《政府采购投标及履约承诺函》中作出声明）    </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注：“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p>
    <w:p>
      <w:pPr>
        <w:spacing w:line="42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三、对本次招标提出询问，请按以下方式联系。</w:t>
      </w:r>
    </w:p>
    <w:p>
      <w:pPr>
        <w:spacing w:line="42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1、采购人信息</w:t>
      </w:r>
    </w:p>
    <w:p>
      <w:pPr>
        <w:spacing w:line="420" w:lineRule="exact"/>
        <w:ind w:firstLine="42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单位名称：深圳市残疾人联合会 </w:t>
      </w:r>
    </w:p>
    <w:p>
      <w:pPr>
        <w:spacing w:line="420" w:lineRule="exact"/>
        <w:ind w:firstLine="420" w:firstLineChars="20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详细地址：深圳市罗湖区笋岗东路中民时代广场B座12楼 </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联系方式：陈先生、0755-25832997</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2、采购代理机构信息</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 xml:space="preserve">名　  称：深圳交易咨询集团有限公司  </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地　  址：深圳市南山区沙河西路与白石路交汇处深圳湾科技生态园9栋B4座6楼</w:t>
      </w:r>
    </w:p>
    <w:p>
      <w:pPr>
        <w:spacing w:line="420" w:lineRule="exact"/>
        <w:ind w:firstLine="420" w:firstLineChars="200"/>
        <w:rPr>
          <w:rFonts w:asciiTheme="majorEastAsia" w:eastAsiaTheme="majorEastAsia" w:hAnsiTheme="majorEastAsia" w:cstheme="majorEastAsia" w:hint="default"/>
          <w:color w:val="auto"/>
          <w:szCs w:val="21"/>
          <w:highlight w:val="none"/>
          <w:lang w:val="en-US" w:eastAsia="zh-CN"/>
        </w:rPr>
      </w:pPr>
      <w:r>
        <w:rPr>
          <w:rFonts w:asciiTheme="majorEastAsia" w:eastAsiaTheme="majorEastAsia" w:hAnsiTheme="majorEastAsia" w:cstheme="majorEastAsia" w:hint="eastAsia"/>
          <w:color w:val="auto"/>
          <w:szCs w:val="21"/>
          <w:highlight w:val="none"/>
        </w:rPr>
        <w:t>联系方式：0755-</w:t>
      </w:r>
      <w:r>
        <w:rPr>
          <w:rFonts w:asciiTheme="majorEastAsia" w:eastAsiaTheme="majorEastAsia" w:hAnsiTheme="majorEastAsia" w:cstheme="majorEastAsia" w:hint="eastAsia"/>
          <w:color w:val="auto"/>
          <w:szCs w:val="21"/>
          <w:highlight w:val="none"/>
          <w:lang w:val="en-US" w:eastAsia="zh-CN"/>
        </w:rPr>
        <w:t>83521951</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监督举报电话：0755-22965602、0755-86660475</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账户信息：</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账户名称：深圳交易咨询集团有限公司</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开户银行：平安银行深圳江苏大厦支行</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帐    号：（人民币）11002982389701（用于支付招标代理服务费）</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3、项目联系方式</w:t>
      </w:r>
    </w:p>
    <w:p>
      <w:pPr>
        <w:pStyle w:val="NormalIndent"/>
        <w:spacing w:line="420" w:lineRule="exact"/>
        <w:ind w:firstLine="393" w:firstLineChars="187"/>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项目联系人：王工、黄工</w:t>
      </w:r>
    </w:p>
    <w:p>
      <w:pPr>
        <w:pStyle w:val="NormalIndent"/>
        <w:spacing w:line="420" w:lineRule="exact"/>
        <w:ind w:firstLine="393" w:firstLineChars="187"/>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电　话：0755-83521951、13682515285；83521979，13697079229　</w:t>
      </w:r>
    </w:p>
    <w:p>
      <w:pPr>
        <w:pStyle w:val="NormalIndent"/>
        <w:spacing w:line="420" w:lineRule="exact"/>
        <w:ind w:firstLine="393" w:firstLineChars="187"/>
        <w:rPr>
          <w:rFonts w:asciiTheme="majorEastAsia" w:eastAsiaTheme="majorEastAsia" w:hAnsiTheme="majorEastAsia" w:cstheme="majorEastAsia" w:hint="eastAsia"/>
          <w:color w:val="auto"/>
          <w:highlight w:val="none"/>
        </w:rPr>
      </w:pPr>
      <w:r>
        <w:rPr>
          <w:rFonts w:asciiTheme="majorEastAsia" w:eastAsiaTheme="majorEastAsia" w:hAnsiTheme="majorEastAsia" w:cstheme="majorEastAsia" w:hint="eastAsia"/>
          <w:color w:val="auto"/>
          <w:highlight w:val="none"/>
        </w:rPr>
        <w:t>4、深圳公共资源交易中心</w:t>
      </w:r>
    </w:p>
    <w:p>
      <w:pPr>
        <w:pStyle w:val="NormalIndent"/>
        <w:spacing w:line="420" w:lineRule="exact"/>
        <w:ind w:firstLine="393" w:firstLineChars="187"/>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系统技术支持、招投标软件技术支持：86500023、83938599，83948100，83938584</w:t>
      </w:r>
    </w:p>
    <w:p>
      <w:pPr>
        <w:pStyle w:val="PlainText"/>
        <w:spacing w:line="420" w:lineRule="exact"/>
        <w:ind w:firstLine="420" w:firstLineChars="200"/>
        <w:rPr>
          <w:rFonts w:hAnsi="宋体"/>
          <w:b/>
          <w:bCs/>
          <w:color w:val="000000" w:themeColor="text1"/>
          <w:sz w:val="32"/>
          <w:szCs w:val="32"/>
          <w:highlight w:val="none"/>
          <w14:textFill>
            <w14:solidFill>
              <w14:schemeClr w14:val="tx1"/>
            </w14:solidFill>
          </w14:textFill>
        </w:rPr>
      </w:pPr>
      <w:r>
        <w:rPr>
          <w:rFonts w:hAnsi="宋体" w:hint="eastAsia"/>
          <w:b/>
          <w:bCs/>
          <w:color w:val="000000" w:themeColor="text1"/>
          <w:sz w:val="32"/>
          <w:szCs w:val="32"/>
          <w:highlight w:val="none"/>
          <w14:textFill>
            <w14:solidFill>
              <w14:schemeClr w14:val="tx1"/>
            </w14:solidFill>
          </w14:textFill>
        </w:rPr>
        <w:t>关于本项目招标公告完整的公示信息详见深圳政府采购智慧平台（http://zfcg.szggzy.com:8081/）。</w:t>
      </w:r>
    </w:p>
    <w:p>
      <w:pPr>
        <w:pStyle w:val="NormalIndent"/>
        <w:spacing w:line="420" w:lineRule="exact"/>
        <w:ind w:firstLine="393" w:firstLineChars="187"/>
        <w:rPr>
          <w:rFonts w:asciiTheme="majorEastAsia" w:eastAsiaTheme="majorEastAsia" w:hAnsiTheme="majorEastAsia" w:cstheme="majorEastAsia"/>
          <w:color w:val="auto"/>
          <w:highlight w:val="none"/>
        </w:rPr>
      </w:pPr>
    </w:p>
    <w:p>
      <w:pPr>
        <w:pStyle w:val="NormalIndent"/>
        <w:spacing w:line="420" w:lineRule="exact"/>
        <w:ind w:firstLine="393" w:firstLineChars="187"/>
        <w:rPr>
          <w:rFonts w:asciiTheme="majorEastAsia" w:eastAsiaTheme="majorEastAsia" w:hAnsiTheme="majorEastAsia" w:cstheme="majorEastAsia"/>
          <w:color w:val="auto"/>
          <w:highlight w:val="none"/>
        </w:rPr>
      </w:pPr>
    </w:p>
    <w:p>
      <w:pPr>
        <w:spacing w:line="420" w:lineRule="exact"/>
        <w:ind w:firstLine="420" w:firstLineChars="200"/>
        <w:jc w:val="right"/>
        <w:rPr>
          <w:rFonts w:asciiTheme="majorEastAsia" w:eastAsiaTheme="majorEastAsia" w:hAnsiTheme="majorEastAsia" w:cstheme="majorEastAsia" w:hint="eastAsia"/>
          <w:bCs/>
          <w:color w:val="auto"/>
          <w:szCs w:val="21"/>
          <w:highlight w:val="none"/>
          <w:lang w:eastAsia="zh-CN"/>
        </w:rPr>
      </w:pPr>
      <w:r>
        <w:rPr>
          <w:rFonts w:asciiTheme="majorEastAsia" w:eastAsiaTheme="majorEastAsia" w:hAnsiTheme="majorEastAsia" w:cstheme="majorEastAsia" w:hint="eastAsia"/>
          <w:bCs/>
          <w:color w:val="auto"/>
          <w:szCs w:val="21"/>
          <w:highlight w:val="none"/>
        </w:rPr>
        <w:t>深圳交易咨询集团有限公司</w:t>
      </w:r>
    </w:p>
    <w:p>
      <w:pPr>
        <w:spacing w:line="420" w:lineRule="exact"/>
        <w:ind w:firstLine="420" w:firstLineChars="200"/>
        <w:jc w:val="right"/>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lang w:val="en-US" w:eastAsia="zh-CN"/>
        </w:rPr>
        <w:t>2022</w:t>
      </w:r>
      <w:r>
        <w:rPr>
          <w:rFonts w:asciiTheme="majorEastAsia" w:eastAsiaTheme="majorEastAsia" w:hAnsiTheme="majorEastAsia" w:cstheme="majorEastAsia" w:hint="eastAsia"/>
          <w:bCs/>
          <w:color w:val="auto"/>
          <w:szCs w:val="21"/>
          <w:highlight w:val="none"/>
        </w:rPr>
        <w:t>年</w:t>
      </w:r>
      <w:r>
        <w:rPr>
          <w:rFonts w:asciiTheme="majorEastAsia" w:eastAsiaTheme="majorEastAsia" w:hAnsiTheme="majorEastAsia" w:cstheme="majorEastAsia" w:hint="eastAsia"/>
          <w:bCs/>
          <w:color w:val="auto"/>
          <w:szCs w:val="21"/>
          <w:highlight w:val="none"/>
          <w:lang w:val="en-US" w:eastAsia="zh-CN"/>
        </w:rPr>
        <w:t>12</w:t>
      </w:r>
      <w:r>
        <w:rPr>
          <w:rFonts w:asciiTheme="majorEastAsia" w:eastAsiaTheme="majorEastAsia" w:hAnsiTheme="majorEastAsia" w:cstheme="majorEastAsia" w:hint="eastAsia"/>
          <w:bCs/>
          <w:color w:val="auto"/>
          <w:szCs w:val="21"/>
          <w:highlight w:val="none"/>
        </w:rPr>
        <w:t>月</w:t>
      </w:r>
      <w:r>
        <w:rPr>
          <w:rFonts w:asciiTheme="majorEastAsia" w:eastAsiaTheme="majorEastAsia" w:hAnsiTheme="majorEastAsia" w:cstheme="majorEastAsia" w:hint="eastAsia"/>
          <w:bCs/>
          <w:color w:val="auto"/>
          <w:szCs w:val="21"/>
          <w:highlight w:val="none"/>
          <w:lang w:val="en-US" w:eastAsia="zh-CN"/>
        </w:rPr>
        <w:t>26</w:t>
      </w:r>
      <w:bookmarkStart w:id="18" w:name="_GoBack"/>
      <w:bookmarkEnd w:id="18"/>
      <w:r>
        <w:rPr>
          <w:rFonts w:asciiTheme="majorEastAsia" w:eastAsiaTheme="majorEastAsia" w:hAnsiTheme="majorEastAsia" w:cstheme="majorEastAsia" w:hint="eastAsia"/>
          <w:bCs/>
          <w:color w:val="auto"/>
          <w:szCs w:val="21"/>
          <w:highlight w:val="none"/>
        </w:rPr>
        <w:t>日</w:t>
      </w:r>
    </w:p>
    <w:p>
      <w:pPr>
        <w:ind w:firstLine="420" w:firstLineChars="200"/>
        <w:jc w:val="right"/>
        <w:rPr>
          <w:rFonts w:asciiTheme="majorEastAsia" w:eastAsiaTheme="majorEastAsia" w:hAnsiTheme="majorEastAsia" w:cstheme="majorEastAsia"/>
          <w:bCs/>
          <w:color w:val="auto"/>
          <w:szCs w:val="21"/>
          <w:highlight w:val="none"/>
        </w:rPr>
      </w:pPr>
    </w:p>
    <w:p>
      <w:pPr>
        <w:ind w:firstLine="420" w:firstLineChars="200"/>
        <w:jc w:val="right"/>
        <w:rPr>
          <w:rFonts w:asciiTheme="majorEastAsia" w:eastAsiaTheme="majorEastAsia" w:hAnsiTheme="majorEastAsia" w:cstheme="majorEastAsia"/>
          <w:color w:val="auto"/>
          <w:sz w:val="32"/>
          <w:szCs w:val="32"/>
          <w:highlight w:val="none"/>
        </w:rPr>
      </w:pPr>
      <w:r>
        <w:rPr>
          <w:rFonts w:asciiTheme="majorEastAsia" w:eastAsiaTheme="majorEastAsia" w:hAnsiTheme="majorEastAsia" w:cstheme="majorEastAsia" w:hint="eastAsia"/>
          <w:bCs/>
          <w:color w:val="auto"/>
          <w:szCs w:val="21"/>
          <w:highlight w:val="none"/>
        </w:rPr>
        <w:br w:type="page"/>
      </w:r>
    </w:p>
    <w:p>
      <w:pPr>
        <w:pStyle w:val="Heading2"/>
        <w:rPr>
          <w:rFonts w:ascii="微软雅黑" w:eastAsia="微软雅黑" w:hAnsi="微软雅黑" w:cs="微软雅黑"/>
          <w:b/>
          <w:bCs/>
          <w:color w:val="auto"/>
          <w:sz w:val="32"/>
          <w:szCs w:val="32"/>
          <w:highlight w:val="none"/>
        </w:rPr>
      </w:pPr>
      <w:r>
        <w:rPr>
          <w:rFonts w:ascii="微软雅黑" w:eastAsia="微软雅黑" w:hAnsi="微软雅黑" w:cs="微软雅黑" w:hint="eastAsia"/>
          <w:b/>
          <w:bCs/>
          <w:color w:val="auto"/>
          <w:sz w:val="32"/>
          <w:szCs w:val="32"/>
          <w:highlight w:val="none"/>
        </w:rPr>
        <w:t>第二章  用户需求书</w:t>
      </w:r>
    </w:p>
    <w:p>
      <w:pPr>
        <w:pStyle w:val="Heading3"/>
        <w:keepNext w:val="0"/>
        <w:keepLines w:val="0"/>
        <w:spacing w:before="231" w:beforeLines="50" w:after="0"/>
        <w:ind w:firstLine="420" w:firstLineChars="200"/>
        <w:rPr>
          <w:rFonts w:asciiTheme="majorEastAsia" w:eastAsiaTheme="majorEastAsia" w:hAnsiTheme="majorEastAsia" w:cstheme="majorEastAsia"/>
          <w:color w:val="auto"/>
          <w:sz w:val="24"/>
          <w:szCs w:val="24"/>
          <w:highlight w:val="none"/>
        </w:rPr>
      </w:pPr>
      <w:bookmarkStart w:id="19" w:name="_Toc60560625"/>
      <w:bookmarkStart w:id="20" w:name="_Toc73521547"/>
      <w:bookmarkStart w:id="21" w:name="_Toc100052364"/>
      <w:bookmarkStart w:id="22" w:name="_Toc73518117"/>
      <w:bookmarkStart w:id="23" w:name="_Toc101074876"/>
      <w:bookmarkStart w:id="24" w:name="_Toc73517639"/>
      <w:bookmarkStart w:id="25" w:name="_Toc73521635"/>
      <w:bookmarkStart w:id="26" w:name="_Toc60631620"/>
      <w:r>
        <w:rPr>
          <w:rFonts w:asciiTheme="majorEastAsia" w:eastAsiaTheme="majorEastAsia" w:hAnsiTheme="majorEastAsia" w:cstheme="majorEastAsia" w:hint="eastAsia"/>
          <w:color w:val="auto"/>
          <w:sz w:val="24"/>
          <w:szCs w:val="24"/>
          <w:highlight w:val="none"/>
        </w:rPr>
        <w:t>一、通用条款补充内容</w:t>
      </w:r>
    </w:p>
    <w:tbl>
      <w:tblPr>
        <w:tblStyle w:val="TableNormal"/>
        <w:tblW w:w="8367"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top w:w="0" w:type="dxa"/>
          <w:left w:w="108" w:type="dxa"/>
          <w:bottom w:w="0" w:type="dxa"/>
          <w:right w:w="108" w:type="dxa"/>
        </w:tblCellMar>
      </w:tblPr>
      <w:tblGrid>
        <w:gridCol w:w="807"/>
        <w:gridCol w:w="2160"/>
        <w:gridCol w:w="5400"/>
      </w:tblGrid>
      <w:tr>
        <w:tblPrEx>
          <w:tblW w:w="8367"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top w:w="0" w:type="dxa"/>
            <w:left w:w="108" w:type="dxa"/>
            <w:bottom w:w="0" w:type="dxa"/>
            <w:right w:w="108" w:type="dxa"/>
          </w:tblCellMar>
        </w:tblPrEx>
        <w:trPr>
          <w:cantSplit/>
          <w:trHeight w:val="567"/>
          <w:jc w:val="center"/>
        </w:trPr>
        <w:tc>
          <w:tcPr>
            <w:tcW w:w="807" w:type="dxa"/>
            <w:tcBorders>
              <w:tl2br w:val="nil"/>
              <w:tr2bl w:val="nil"/>
            </w:tcBorders>
            <w:vAlign w:val="center"/>
          </w:tcPr>
          <w:p>
            <w:pPr>
              <w:spacing w:line="400" w:lineRule="exact"/>
              <w:jc w:val="center"/>
              <w:rPr>
                <w:rFonts w:asciiTheme="majorEastAsia" w:eastAsiaTheme="majorEastAsia" w:hAnsiTheme="majorEastAsia" w:cstheme="majorEastAsia"/>
                <w:b/>
                <w:bCs/>
                <w:color w:val="auto"/>
                <w:highlight w:val="none"/>
              </w:rPr>
            </w:pPr>
            <w:r>
              <w:rPr>
                <w:rFonts w:asciiTheme="majorEastAsia" w:eastAsiaTheme="majorEastAsia" w:hAnsiTheme="majorEastAsia" w:cstheme="majorEastAsia" w:hint="eastAsia"/>
                <w:b/>
                <w:bCs/>
                <w:color w:val="auto"/>
                <w:highlight w:val="none"/>
              </w:rPr>
              <w:t>序号</w:t>
            </w:r>
          </w:p>
        </w:tc>
        <w:tc>
          <w:tcPr>
            <w:tcW w:w="2160" w:type="dxa"/>
            <w:tcBorders>
              <w:tl2br w:val="nil"/>
              <w:tr2bl w:val="nil"/>
            </w:tcBorders>
            <w:vAlign w:val="center"/>
          </w:tcPr>
          <w:p>
            <w:pPr>
              <w:spacing w:line="400" w:lineRule="exact"/>
              <w:jc w:val="center"/>
              <w:rPr>
                <w:rFonts w:asciiTheme="majorEastAsia" w:eastAsiaTheme="majorEastAsia" w:hAnsiTheme="majorEastAsia" w:cstheme="majorEastAsia"/>
                <w:b/>
                <w:bCs/>
                <w:color w:val="auto"/>
                <w:highlight w:val="none"/>
              </w:rPr>
            </w:pPr>
            <w:r>
              <w:rPr>
                <w:rFonts w:asciiTheme="majorEastAsia" w:eastAsiaTheme="majorEastAsia" w:hAnsiTheme="majorEastAsia" w:cstheme="majorEastAsia" w:hint="eastAsia"/>
                <w:b/>
                <w:bCs/>
                <w:color w:val="auto"/>
                <w:highlight w:val="none"/>
              </w:rPr>
              <w:t>内容</w:t>
            </w:r>
          </w:p>
        </w:tc>
        <w:tc>
          <w:tcPr>
            <w:tcW w:w="5400" w:type="dxa"/>
            <w:tcBorders>
              <w:tl2br w:val="nil"/>
              <w:tr2bl w:val="nil"/>
            </w:tcBorders>
            <w:vAlign w:val="center"/>
          </w:tcPr>
          <w:p>
            <w:pPr>
              <w:spacing w:line="400" w:lineRule="exact"/>
              <w:jc w:val="center"/>
              <w:rPr>
                <w:rFonts w:asciiTheme="majorEastAsia" w:eastAsiaTheme="majorEastAsia" w:hAnsiTheme="majorEastAsia" w:cstheme="majorEastAsia"/>
                <w:b/>
                <w:bCs/>
                <w:color w:val="auto"/>
                <w:highlight w:val="none"/>
              </w:rPr>
            </w:pPr>
            <w:r>
              <w:rPr>
                <w:rFonts w:asciiTheme="majorEastAsia" w:eastAsiaTheme="majorEastAsia" w:hAnsiTheme="majorEastAsia" w:cstheme="majorEastAsia" w:hint="eastAsia"/>
                <w:b/>
                <w:bCs/>
                <w:color w:val="auto"/>
                <w:highlight w:val="none"/>
              </w:rPr>
              <w:t>规定</w:t>
            </w:r>
          </w:p>
        </w:tc>
      </w:tr>
      <w:tr>
        <w:tblPrEx>
          <w:tblW w:w="8367" w:type="dxa"/>
          <w:jc w:val="center"/>
          <w:tblLayout w:type="fixed"/>
          <w:tblCellMar>
            <w:top w:w="0" w:type="dxa"/>
            <w:left w:w="108" w:type="dxa"/>
            <w:bottom w:w="0" w:type="dxa"/>
            <w:right w:w="108" w:type="dxa"/>
          </w:tblCellMar>
        </w:tblPrEx>
        <w:trPr>
          <w:cantSplit/>
          <w:trHeight w:val="567"/>
          <w:jc w:val="center"/>
        </w:trPr>
        <w:tc>
          <w:tcPr>
            <w:tcW w:w="807" w:type="dxa"/>
            <w:tcBorders>
              <w:tl2br w:val="nil"/>
              <w:tr2bl w:val="nil"/>
            </w:tcBorders>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1</w:t>
            </w:r>
          </w:p>
        </w:tc>
        <w:tc>
          <w:tcPr>
            <w:tcW w:w="2160" w:type="dxa"/>
            <w:tcBorders>
              <w:tl2br w:val="nil"/>
              <w:tr2bl w:val="nil"/>
            </w:tcBorders>
            <w:vAlign w:val="center"/>
          </w:tcPr>
          <w:p>
            <w:pPr>
              <w:spacing w:line="400" w:lineRule="exact"/>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联合体投标</w:t>
            </w:r>
          </w:p>
        </w:tc>
        <w:tc>
          <w:tcPr>
            <w:tcW w:w="5400" w:type="dxa"/>
            <w:tcBorders>
              <w:tl2br w:val="nil"/>
              <w:tr2bl w:val="nil"/>
            </w:tcBorders>
            <w:vAlign w:val="center"/>
          </w:tcPr>
          <w:p>
            <w:pPr>
              <w:spacing w:line="400" w:lineRule="exact"/>
              <w:rPr>
                <w:rFonts w:asciiTheme="majorEastAsia" w:eastAsiaTheme="majorEastAsia" w:hAnsiTheme="majorEastAsia" w:cstheme="majorEastAsia"/>
                <w:snapToGrid w:val="0"/>
                <w:color w:val="auto"/>
                <w:kern w:val="0"/>
                <w:szCs w:val="32"/>
                <w:highlight w:val="none"/>
                <w:lang w:val="zh-CN"/>
              </w:rPr>
            </w:pPr>
            <w:r>
              <w:rPr>
                <w:rFonts w:asciiTheme="majorEastAsia" w:eastAsiaTheme="majorEastAsia" w:hAnsiTheme="majorEastAsia" w:cstheme="majorEastAsia" w:hint="eastAsia"/>
                <w:snapToGrid w:val="0"/>
                <w:color w:val="auto"/>
                <w:kern w:val="0"/>
                <w:szCs w:val="32"/>
                <w:highlight w:val="none"/>
                <w:lang w:val="zh-CN"/>
              </w:rPr>
              <w:t>见《招标公告》中“投标人资格要求”部分的相关内容</w:t>
            </w:r>
          </w:p>
        </w:tc>
      </w:tr>
      <w:tr>
        <w:tblPrEx>
          <w:tblW w:w="8367" w:type="dxa"/>
          <w:jc w:val="center"/>
          <w:tblLayout w:type="fixed"/>
          <w:tblCellMar>
            <w:top w:w="0" w:type="dxa"/>
            <w:left w:w="108" w:type="dxa"/>
            <w:bottom w:w="0" w:type="dxa"/>
            <w:right w:w="108" w:type="dxa"/>
          </w:tblCellMar>
        </w:tblPrEx>
        <w:trPr>
          <w:cantSplit/>
          <w:trHeight w:val="567"/>
          <w:jc w:val="center"/>
        </w:trPr>
        <w:tc>
          <w:tcPr>
            <w:tcW w:w="807" w:type="dxa"/>
            <w:tcBorders>
              <w:tl2br w:val="nil"/>
              <w:tr2bl w:val="nil"/>
            </w:tcBorders>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2</w:t>
            </w:r>
          </w:p>
        </w:tc>
        <w:tc>
          <w:tcPr>
            <w:tcW w:w="2160" w:type="dxa"/>
            <w:tcBorders>
              <w:tl2br w:val="nil"/>
              <w:tr2bl w:val="nil"/>
            </w:tcBorders>
            <w:vAlign w:val="center"/>
          </w:tcPr>
          <w:p>
            <w:pPr>
              <w:spacing w:line="400" w:lineRule="exact"/>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投标有效期</w:t>
            </w:r>
          </w:p>
        </w:tc>
        <w:tc>
          <w:tcPr>
            <w:tcW w:w="5400" w:type="dxa"/>
            <w:tcBorders>
              <w:tl2br w:val="nil"/>
              <w:tr2bl w:val="nil"/>
            </w:tcBorders>
            <w:vAlign w:val="center"/>
          </w:tcPr>
          <w:p>
            <w:pPr>
              <w:spacing w:line="400" w:lineRule="exact"/>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120日历天（从投标截止之日算起）</w:t>
            </w:r>
          </w:p>
        </w:tc>
      </w:tr>
      <w:tr>
        <w:tblPrEx>
          <w:tblW w:w="8367" w:type="dxa"/>
          <w:jc w:val="center"/>
          <w:tblLayout w:type="fixed"/>
          <w:tblCellMar>
            <w:top w:w="0" w:type="dxa"/>
            <w:left w:w="108" w:type="dxa"/>
            <w:bottom w:w="0" w:type="dxa"/>
            <w:right w:w="108" w:type="dxa"/>
          </w:tblCellMar>
        </w:tblPrEx>
        <w:trPr>
          <w:cantSplit/>
          <w:trHeight w:val="567"/>
          <w:jc w:val="center"/>
        </w:trPr>
        <w:tc>
          <w:tcPr>
            <w:tcW w:w="807" w:type="dxa"/>
            <w:tcBorders>
              <w:tl2br w:val="nil"/>
              <w:tr2bl w:val="nil"/>
            </w:tcBorders>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3</w:t>
            </w:r>
          </w:p>
        </w:tc>
        <w:tc>
          <w:tcPr>
            <w:tcW w:w="2160" w:type="dxa"/>
            <w:tcBorders>
              <w:tl2br w:val="nil"/>
              <w:tr2bl w:val="nil"/>
            </w:tcBorders>
            <w:vAlign w:val="center"/>
          </w:tcPr>
          <w:p>
            <w:pPr>
              <w:spacing w:line="400" w:lineRule="exact"/>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投标人的替代方案</w:t>
            </w:r>
          </w:p>
        </w:tc>
        <w:tc>
          <w:tcPr>
            <w:tcW w:w="5400" w:type="dxa"/>
            <w:tcBorders>
              <w:tl2br w:val="nil"/>
              <w:tr2bl w:val="nil"/>
            </w:tcBorders>
            <w:vAlign w:val="center"/>
          </w:tcPr>
          <w:p>
            <w:pPr>
              <w:spacing w:line="400" w:lineRule="exact"/>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不允许</w:t>
            </w:r>
          </w:p>
        </w:tc>
      </w:tr>
      <w:tr>
        <w:tblPrEx>
          <w:tblW w:w="8367" w:type="dxa"/>
          <w:jc w:val="center"/>
          <w:tblLayout w:type="fixed"/>
          <w:tblCellMar>
            <w:top w:w="0" w:type="dxa"/>
            <w:left w:w="108" w:type="dxa"/>
            <w:bottom w:w="0" w:type="dxa"/>
            <w:right w:w="108" w:type="dxa"/>
          </w:tblCellMar>
        </w:tblPrEx>
        <w:trPr>
          <w:cantSplit/>
          <w:trHeight w:val="567"/>
          <w:jc w:val="center"/>
        </w:trPr>
        <w:tc>
          <w:tcPr>
            <w:tcW w:w="807" w:type="dxa"/>
            <w:tcBorders>
              <w:tl2br w:val="nil"/>
              <w:tr2bl w:val="nil"/>
            </w:tcBorders>
            <w:vAlign w:val="center"/>
          </w:tcPr>
          <w:p>
            <w:pPr>
              <w:spacing w:line="400" w:lineRule="exact"/>
              <w:rPr>
                <w:rFonts w:asciiTheme="majorEastAsia" w:eastAsiaTheme="majorEastAsia" w:hAnsiTheme="majorEastAsia" w:cstheme="majorEastAsia" w:hint="eastAsia"/>
                <w:color w:val="auto"/>
                <w:highlight w:val="none"/>
              </w:rPr>
            </w:pPr>
            <w:r>
              <w:rPr>
                <w:rFonts w:asciiTheme="majorEastAsia" w:eastAsiaTheme="majorEastAsia" w:hAnsiTheme="majorEastAsia" w:cstheme="majorEastAsia" w:hint="eastAsia"/>
                <w:color w:val="auto"/>
                <w:highlight w:val="none"/>
              </w:rPr>
              <w:t>4</w:t>
            </w:r>
          </w:p>
        </w:tc>
        <w:tc>
          <w:tcPr>
            <w:tcW w:w="2160" w:type="dxa"/>
            <w:tcBorders>
              <w:tl2br w:val="nil"/>
              <w:tr2bl w:val="nil"/>
            </w:tcBorders>
            <w:vAlign w:val="center"/>
          </w:tcPr>
          <w:p>
            <w:pPr>
              <w:spacing w:line="400" w:lineRule="exact"/>
              <w:rPr>
                <w:rFonts w:asciiTheme="majorEastAsia" w:eastAsiaTheme="majorEastAsia" w:hAnsiTheme="majorEastAsia" w:cstheme="majorEastAsia" w:hint="eastAsia"/>
                <w:color w:val="auto"/>
                <w:highlight w:val="none"/>
              </w:rPr>
            </w:pPr>
            <w:bookmarkStart w:id="27" w:name="_Hlk71664860"/>
            <w:r>
              <w:rPr>
                <w:rFonts w:asciiTheme="majorEastAsia" w:eastAsiaTheme="majorEastAsia" w:hAnsiTheme="majorEastAsia" w:cstheme="majorEastAsia" w:hint="eastAsia"/>
                <w:color w:val="auto"/>
                <w:highlight w:val="none"/>
              </w:rPr>
              <w:t>样品、现场演示、方案讲解</w:t>
            </w:r>
            <w:bookmarkEnd w:id="27"/>
          </w:p>
        </w:tc>
        <w:tc>
          <w:tcPr>
            <w:tcW w:w="5400" w:type="dxa"/>
            <w:tcBorders>
              <w:tl2br w:val="nil"/>
              <w:tr2bl w:val="nil"/>
            </w:tcBorders>
            <w:vAlign w:val="center"/>
          </w:tcPr>
          <w:p>
            <w:pPr>
              <w:spacing w:line="400" w:lineRule="exact"/>
              <w:rPr>
                <w:rFonts w:asciiTheme="majorEastAsia" w:eastAsiaTheme="majorEastAsia" w:hAnsiTheme="majorEastAsia" w:cstheme="majorEastAsia" w:hint="eastAsia"/>
                <w:color w:val="auto"/>
                <w:highlight w:val="none"/>
              </w:rPr>
            </w:pPr>
            <w:r>
              <w:rPr>
                <w:rFonts w:asciiTheme="majorEastAsia" w:eastAsiaTheme="majorEastAsia" w:hAnsiTheme="majorEastAsia" w:cstheme="majorEastAsia" w:hint="eastAsia"/>
                <w:color w:val="auto"/>
                <w:highlight w:val="none"/>
              </w:rPr>
              <w:t>如有，填写具体要求</w:t>
            </w:r>
          </w:p>
        </w:tc>
      </w:tr>
      <w:tr>
        <w:tblPrEx>
          <w:tblW w:w="8367" w:type="dxa"/>
          <w:jc w:val="center"/>
          <w:tblLayout w:type="fixed"/>
          <w:tblCellMar>
            <w:top w:w="0" w:type="dxa"/>
            <w:left w:w="108" w:type="dxa"/>
            <w:bottom w:w="0" w:type="dxa"/>
            <w:right w:w="108" w:type="dxa"/>
          </w:tblCellMar>
        </w:tblPrEx>
        <w:trPr>
          <w:cantSplit/>
          <w:trHeight w:val="567"/>
          <w:jc w:val="center"/>
        </w:trPr>
        <w:tc>
          <w:tcPr>
            <w:tcW w:w="807" w:type="dxa"/>
            <w:tcBorders>
              <w:tl2br w:val="nil"/>
              <w:tr2bl w:val="nil"/>
            </w:tcBorders>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5</w:t>
            </w:r>
          </w:p>
        </w:tc>
        <w:tc>
          <w:tcPr>
            <w:tcW w:w="2160" w:type="dxa"/>
            <w:tcBorders>
              <w:tl2br w:val="nil"/>
              <w:tr2bl w:val="nil"/>
            </w:tcBorders>
            <w:vAlign w:val="center"/>
          </w:tcPr>
          <w:p>
            <w:pPr>
              <w:spacing w:line="400" w:lineRule="exact"/>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履约保证金</w:t>
            </w:r>
          </w:p>
        </w:tc>
        <w:tc>
          <w:tcPr>
            <w:tcW w:w="5400" w:type="dxa"/>
            <w:tcBorders>
              <w:tl2br w:val="nil"/>
              <w:tr2bl w:val="nil"/>
            </w:tcBorders>
            <w:vAlign w:val="center"/>
          </w:tcPr>
          <w:p>
            <w:pPr>
              <w:spacing w:line="400" w:lineRule="exact"/>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合同金额的</w:t>
            </w:r>
            <w:r>
              <w:rPr>
                <w:rFonts w:asciiTheme="majorEastAsia" w:eastAsiaTheme="majorEastAsia" w:hAnsiTheme="majorEastAsia" w:cstheme="majorEastAsia" w:hint="eastAsia"/>
                <w:color w:val="auto"/>
                <w:highlight w:val="none"/>
                <w:u w:val="single"/>
                <w:lang w:val="en-US" w:eastAsia="zh-CN"/>
              </w:rPr>
              <w:t>0</w:t>
            </w:r>
            <w:r>
              <w:rPr>
                <w:rFonts w:asciiTheme="majorEastAsia" w:eastAsiaTheme="majorEastAsia" w:hAnsiTheme="majorEastAsia" w:cstheme="majorEastAsia" w:hint="eastAsia"/>
                <w:color w:val="auto"/>
                <w:highlight w:val="none"/>
              </w:rPr>
              <w:t>%</w:t>
            </w:r>
          </w:p>
        </w:tc>
      </w:tr>
    </w:tbl>
    <w:p>
      <w:pPr>
        <w:rPr>
          <w:rFonts w:asciiTheme="majorEastAsia" w:eastAsiaTheme="majorEastAsia" w:hAnsiTheme="majorEastAsia" w:cstheme="majorEastAsia"/>
          <w:bCs/>
          <w:color w:val="auto"/>
          <w:highlight w:val="none"/>
        </w:rPr>
      </w:pPr>
      <w:r>
        <w:rPr>
          <w:rFonts w:asciiTheme="majorEastAsia" w:eastAsiaTheme="majorEastAsia" w:hAnsiTheme="majorEastAsia" w:cstheme="majorEastAsia" w:hint="eastAsia"/>
          <w:b/>
          <w:color w:val="auto"/>
          <w:szCs w:val="21"/>
          <w:highlight w:val="none"/>
        </w:rPr>
        <w:t>备注：</w:t>
      </w:r>
      <w:r>
        <w:rPr>
          <w:rFonts w:asciiTheme="majorEastAsia" w:eastAsiaTheme="majorEastAsia" w:hAnsiTheme="majorEastAsia" w:cstheme="majorEastAsia" w:hint="eastAsia"/>
          <w:bCs/>
          <w:color w:val="auto"/>
          <w:szCs w:val="21"/>
          <w:highlight w:val="none"/>
        </w:rPr>
        <w:t>本表为通用条款相关内容的补充和明确，如与通用条款相冲突的以本表为准。</w:t>
      </w:r>
    </w:p>
    <w:p>
      <w:pPr>
        <w:pStyle w:val="Heading3"/>
        <w:keepNext w:val="0"/>
        <w:keepLines w:val="0"/>
        <w:numPr>
          <w:ilvl w:val="0"/>
          <w:numId w:val="7"/>
        </w:numPr>
        <w:spacing w:before="231" w:beforeLines="50" w:after="0"/>
        <w:ind w:firstLine="420" w:firstLineChars="200"/>
        <w:rPr>
          <w:rFonts w:asciiTheme="majorEastAsia" w:eastAsiaTheme="majorEastAsia" w:hAnsiTheme="majorEastAsia" w:cstheme="majorEastAsia"/>
          <w:color w:val="auto"/>
          <w:sz w:val="24"/>
          <w:szCs w:val="24"/>
          <w:highlight w:val="none"/>
        </w:rPr>
      </w:pPr>
      <w:bookmarkEnd w:id="19"/>
      <w:bookmarkEnd w:id="20"/>
      <w:bookmarkEnd w:id="21"/>
      <w:bookmarkEnd w:id="22"/>
      <w:bookmarkEnd w:id="23"/>
      <w:bookmarkEnd w:id="24"/>
      <w:bookmarkEnd w:id="25"/>
      <w:bookmarkEnd w:id="26"/>
      <w:bookmarkStart w:id="28" w:name="_Hlk72073432"/>
      <w:bookmarkStart w:id="29" w:name="_Toc128884461"/>
      <w:r>
        <w:rPr>
          <w:rFonts w:asciiTheme="majorEastAsia" w:eastAsiaTheme="majorEastAsia" w:hAnsiTheme="majorEastAsia" w:cstheme="majorEastAsia" w:hint="eastAsia"/>
          <w:color w:val="auto"/>
          <w:sz w:val="24"/>
          <w:szCs w:val="24"/>
          <w:highlight w:val="none"/>
        </w:rPr>
        <w:t>服务</w:t>
      </w:r>
      <w:bookmarkEnd w:id="28"/>
      <w:r>
        <w:rPr>
          <w:rFonts w:asciiTheme="majorEastAsia" w:eastAsiaTheme="majorEastAsia" w:hAnsiTheme="majorEastAsia" w:cstheme="majorEastAsia" w:hint="eastAsia"/>
          <w:color w:val="auto"/>
          <w:sz w:val="24"/>
          <w:szCs w:val="24"/>
          <w:highlight w:val="none"/>
        </w:rPr>
        <w:t>清单</w:t>
      </w:r>
    </w:p>
    <w:tbl>
      <w:tblPr>
        <w:tblStyle w:val="TableNormal"/>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18"/>
        <w:gridCol w:w="2796"/>
        <w:gridCol w:w="1670"/>
        <w:gridCol w:w="1327"/>
        <w:gridCol w:w="2015"/>
      </w:tblGrid>
      <w:tr>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40"/>
          <w:jc w:val="center"/>
        </w:trPr>
        <w:tc>
          <w:tcPr>
            <w:tcW w:w="421" w:type="pct"/>
            <w:vAlign w:val="center"/>
          </w:tcPr>
          <w:p>
            <w:pPr>
              <w:jc w:val="center"/>
              <w:rPr>
                <w:rFonts w:asciiTheme="minorEastAsia" w:eastAsiaTheme="minorEastAsia" w:hAnsiTheme="minorEastAsia"/>
                <w:b/>
                <w:bCs/>
                <w:color w:val="auto"/>
                <w:szCs w:val="21"/>
                <w:highlight w:val="none"/>
              </w:rPr>
            </w:pPr>
            <w:r>
              <w:rPr>
                <w:rFonts w:asciiTheme="minorEastAsia" w:eastAsiaTheme="minorEastAsia" w:hAnsiTheme="minorEastAsia" w:hint="eastAsia"/>
                <w:b/>
                <w:bCs/>
                <w:color w:val="auto"/>
                <w:szCs w:val="21"/>
                <w:highlight w:val="none"/>
              </w:rPr>
              <w:t>序号</w:t>
            </w:r>
          </w:p>
        </w:tc>
        <w:tc>
          <w:tcPr>
            <w:tcW w:w="1639" w:type="pct"/>
            <w:vAlign w:val="center"/>
          </w:tcPr>
          <w:p>
            <w:pPr>
              <w:jc w:val="center"/>
              <w:rPr>
                <w:rFonts w:asciiTheme="minorEastAsia" w:eastAsiaTheme="minorEastAsia" w:hAnsiTheme="minorEastAsia"/>
                <w:b/>
                <w:bCs/>
                <w:color w:val="auto"/>
                <w:szCs w:val="21"/>
                <w:highlight w:val="none"/>
              </w:rPr>
            </w:pPr>
            <w:r>
              <w:rPr>
                <w:rFonts w:asciiTheme="minorEastAsia" w:eastAsiaTheme="minorEastAsia" w:hAnsiTheme="minorEastAsia" w:hint="eastAsia"/>
                <w:b/>
                <w:bCs/>
                <w:color w:val="auto"/>
                <w:szCs w:val="21"/>
                <w:highlight w:val="none"/>
              </w:rPr>
              <w:t>采购项目名称</w:t>
            </w:r>
          </w:p>
        </w:tc>
        <w:tc>
          <w:tcPr>
            <w:tcW w:w="979" w:type="pct"/>
            <w:vAlign w:val="center"/>
          </w:tcPr>
          <w:p>
            <w:pPr>
              <w:jc w:val="center"/>
              <w:rPr>
                <w:rFonts w:asciiTheme="minorEastAsia" w:eastAsiaTheme="minorEastAsia" w:hAnsiTheme="minorEastAsia" w:cs="Times New Roman" w:hint="eastAsia"/>
                <w:b/>
                <w:bCs/>
                <w:color w:val="auto"/>
                <w:kern w:val="2"/>
                <w:sz w:val="21"/>
                <w:szCs w:val="21"/>
                <w:highlight w:val="none"/>
                <w:lang w:val="en-US" w:eastAsia="zh-CN" w:bidi="ar-SA"/>
              </w:rPr>
            </w:pPr>
            <w:r>
              <w:rPr>
                <w:rFonts w:asciiTheme="minorEastAsia" w:eastAsiaTheme="minorEastAsia" w:hAnsiTheme="minorEastAsia" w:hint="eastAsia"/>
                <w:b/>
                <w:bCs/>
                <w:color w:val="auto"/>
                <w:szCs w:val="21"/>
                <w:highlight w:val="none"/>
              </w:rPr>
              <w:t>数量</w:t>
            </w:r>
          </w:p>
        </w:tc>
        <w:tc>
          <w:tcPr>
            <w:tcW w:w="778" w:type="pct"/>
            <w:vAlign w:val="center"/>
          </w:tcPr>
          <w:p>
            <w:pPr>
              <w:jc w:val="center"/>
              <w:rPr>
                <w:rFonts w:asciiTheme="minorEastAsia" w:eastAsiaTheme="minorEastAsia" w:hAnsiTheme="minorEastAsia" w:cs="Times New Roman" w:hint="eastAsia"/>
                <w:b/>
                <w:bCs/>
                <w:color w:val="auto"/>
                <w:szCs w:val="21"/>
                <w:highlight w:val="none"/>
                <w:lang w:val="en-US" w:eastAsia="zh-CN"/>
              </w:rPr>
            </w:pPr>
            <w:r>
              <w:rPr>
                <w:rFonts w:asciiTheme="minorEastAsia" w:eastAsiaTheme="minorEastAsia" w:hAnsiTheme="minorEastAsia" w:cs="Times New Roman" w:hint="eastAsia"/>
                <w:b/>
                <w:bCs/>
                <w:color w:val="auto"/>
                <w:szCs w:val="21"/>
                <w:highlight w:val="none"/>
              </w:rPr>
              <w:t>单位</w:t>
            </w:r>
          </w:p>
        </w:tc>
        <w:tc>
          <w:tcPr>
            <w:tcW w:w="1181" w:type="pct"/>
            <w:vAlign w:val="center"/>
          </w:tcPr>
          <w:p>
            <w:pPr>
              <w:jc w:val="center"/>
              <w:rPr>
                <w:rFonts w:asciiTheme="minorEastAsia" w:eastAsiaTheme="minorEastAsia" w:hAnsiTheme="minorEastAsia" w:cs="Times New Roman" w:hint="eastAsia"/>
                <w:b/>
                <w:bCs/>
                <w:color w:val="auto"/>
                <w:szCs w:val="21"/>
                <w:highlight w:val="none"/>
              </w:rPr>
            </w:pPr>
            <w:r>
              <w:rPr>
                <w:rFonts w:asciiTheme="minorEastAsia" w:eastAsiaTheme="minorEastAsia" w:hAnsiTheme="minorEastAsia" w:cs="Times New Roman" w:hint="eastAsia"/>
                <w:b/>
                <w:bCs/>
                <w:color w:val="auto"/>
                <w:szCs w:val="21"/>
                <w:highlight w:val="none"/>
              </w:rPr>
              <w:t>财政预算限额（元）</w:t>
            </w:r>
          </w:p>
        </w:tc>
      </w:tr>
      <w:tr>
        <w:tblPrEx>
          <w:tblW w:w="4998" w:type="pct"/>
          <w:jc w:val="center"/>
          <w:tblCellMar>
            <w:top w:w="0" w:type="dxa"/>
            <w:left w:w="108" w:type="dxa"/>
            <w:bottom w:w="0" w:type="dxa"/>
            <w:right w:w="108" w:type="dxa"/>
          </w:tblCellMar>
        </w:tblPrEx>
        <w:trPr>
          <w:trHeight w:val="340"/>
          <w:jc w:val="center"/>
        </w:trPr>
        <w:tc>
          <w:tcPr>
            <w:tcW w:w="421" w:type="pct"/>
            <w:vAlign w:val="center"/>
          </w:tcPr>
          <w:p>
            <w:pPr>
              <w:jc w:val="center"/>
              <w:rPr>
                <w:rFonts w:asciiTheme="minorEastAsia" w:eastAsiaTheme="minorEastAsia" w:hAnsiTheme="minorEastAsia"/>
                <w:bCs/>
                <w:color w:val="auto"/>
                <w:szCs w:val="21"/>
                <w:highlight w:val="none"/>
              </w:rPr>
            </w:pPr>
            <w:r>
              <w:rPr>
                <w:rFonts w:asciiTheme="minorEastAsia" w:eastAsiaTheme="minorEastAsia" w:hAnsiTheme="minorEastAsia" w:hint="eastAsia"/>
                <w:bCs/>
                <w:color w:val="auto"/>
                <w:szCs w:val="21"/>
                <w:highlight w:val="none"/>
              </w:rPr>
              <w:t>1</w:t>
            </w:r>
          </w:p>
        </w:tc>
        <w:tc>
          <w:tcPr>
            <w:tcW w:w="1639" w:type="pct"/>
            <w:vAlign w:val="center"/>
          </w:tcPr>
          <w:p>
            <w:pPr>
              <w:jc w:val="center"/>
              <w:rPr>
                <w:rFonts w:asciiTheme="minorEastAsia" w:eastAsiaTheme="minorEastAsia" w:hAnsiTheme="minorEastAsia" w:hint="eastAsia"/>
                <w:b w:val="0"/>
                <w:bCs w:val="0"/>
                <w:color w:val="auto"/>
                <w:szCs w:val="21"/>
                <w:highlight w:val="none"/>
                <w:lang w:eastAsia="zh-CN"/>
              </w:rPr>
            </w:pPr>
            <w:r>
              <w:rPr>
                <w:rFonts w:asciiTheme="minorEastAsia" w:eastAsiaTheme="minorEastAsia" w:hAnsiTheme="minorEastAsia" w:hint="eastAsia"/>
                <w:b w:val="0"/>
                <w:bCs w:val="0"/>
                <w:color w:val="auto"/>
                <w:szCs w:val="21"/>
                <w:highlight w:val="none"/>
                <w:lang w:eastAsia="zh-CN"/>
              </w:rPr>
              <w:t>市残联新媒体宣传</w:t>
            </w:r>
          </w:p>
        </w:tc>
        <w:tc>
          <w:tcPr>
            <w:tcW w:w="979" w:type="pct"/>
            <w:vAlign w:val="center"/>
          </w:tcPr>
          <w:p>
            <w:pPr>
              <w:jc w:val="center"/>
              <w:rPr>
                <w:rFonts w:asciiTheme="minorEastAsia" w:eastAsiaTheme="minorEastAsia" w:hAnsiTheme="minorEastAsia" w:hint="eastAsia"/>
                <w:b w:val="0"/>
                <w:bCs w:val="0"/>
                <w:color w:val="auto"/>
                <w:szCs w:val="21"/>
                <w:highlight w:val="none"/>
                <w:lang w:val="en-US" w:eastAsia="zh-CN"/>
              </w:rPr>
            </w:pPr>
            <w:r>
              <w:rPr>
                <w:rFonts w:asciiTheme="minorEastAsia" w:eastAsiaTheme="minorEastAsia" w:hAnsiTheme="minorEastAsia" w:hint="eastAsia"/>
                <w:b w:val="0"/>
                <w:bCs w:val="0"/>
                <w:color w:val="auto"/>
                <w:szCs w:val="21"/>
                <w:highlight w:val="none"/>
                <w:lang w:val="en-US" w:eastAsia="zh-CN"/>
              </w:rPr>
              <w:t>1</w:t>
            </w:r>
          </w:p>
        </w:tc>
        <w:tc>
          <w:tcPr>
            <w:tcW w:w="778" w:type="pct"/>
            <w:vAlign w:val="center"/>
          </w:tcPr>
          <w:p>
            <w:pPr>
              <w:jc w:val="center"/>
              <w:rPr>
                <w:rFonts w:asciiTheme="minorEastAsia" w:eastAsiaTheme="minorEastAsia" w:hAnsiTheme="minorEastAsia" w:hint="eastAsia"/>
                <w:b w:val="0"/>
                <w:bCs w:val="0"/>
                <w:color w:val="auto"/>
                <w:szCs w:val="21"/>
                <w:highlight w:val="none"/>
                <w:lang w:eastAsia="zh-CN"/>
              </w:rPr>
            </w:pPr>
            <w:r>
              <w:rPr>
                <w:rFonts w:asciiTheme="minorEastAsia" w:eastAsiaTheme="minorEastAsia" w:hAnsiTheme="minorEastAsia" w:hint="eastAsia"/>
                <w:b w:val="0"/>
                <w:bCs w:val="0"/>
                <w:color w:val="auto"/>
                <w:szCs w:val="21"/>
                <w:highlight w:val="none"/>
                <w:lang w:eastAsia="zh-CN"/>
              </w:rPr>
              <w:t>项</w:t>
            </w:r>
          </w:p>
        </w:tc>
        <w:tc>
          <w:tcPr>
            <w:tcW w:w="1181" w:type="pct"/>
            <w:vAlign w:val="center"/>
          </w:tcPr>
          <w:p>
            <w:pPr>
              <w:jc w:val="center"/>
              <w:rPr>
                <w:rFonts w:asciiTheme="minorEastAsia" w:eastAsiaTheme="minorEastAsia" w:hAnsiTheme="minorEastAsia"/>
                <w:b w:val="0"/>
                <w:bCs w:val="0"/>
                <w:color w:val="auto"/>
                <w:szCs w:val="21"/>
                <w:highlight w:val="none"/>
              </w:rPr>
            </w:pPr>
            <w:r>
              <w:rPr>
                <w:rFonts w:asciiTheme="minorEastAsia" w:eastAsiaTheme="minorEastAsia" w:hAnsiTheme="minorEastAsia" w:hint="eastAsia"/>
                <w:b w:val="0"/>
                <w:bCs w:val="0"/>
                <w:color w:val="auto"/>
                <w:szCs w:val="21"/>
                <w:highlight w:val="none"/>
              </w:rPr>
              <w:t>4,083,000.00</w:t>
            </w:r>
          </w:p>
        </w:tc>
      </w:tr>
    </w:tbl>
    <w:p>
      <w:pPr>
        <w:pStyle w:val="Heading3"/>
        <w:keepNext w:val="0"/>
        <w:keepLines w:val="0"/>
        <w:spacing w:before="231" w:beforeLines="50" w:after="0"/>
        <w:ind w:firstLine="420" w:firstLineChars="200"/>
        <w:rPr>
          <w:rFonts w:asciiTheme="majorEastAsia" w:eastAsiaTheme="majorEastAsia" w:hAnsiTheme="majorEastAsia" w:cstheme="majorEastAsia"/>
          <w:color w:val="auto"/>
          <w:sz w:val="24"/>
          <w:szCs w:val="24"/>
          <w:highlight w:val="none"/>
        </w:rPr>
      </w:pPr>
      <w:r>
        <w:rPr>
          <w:rFonts w:asciiTheme="majorEastAsia" w:eastAsiaTheme="majorEastAsia" w:hAnsiTheme="majorEastAsia" w:cstheme="majorEastAsia" w:hint="eastAsia"/>
          <w:color w:val="auto"/>
          <w:sz w:val="24"/>
          <w:szCs w:val="24"/>
          <w:highlight w:val="none"/>
          <w:lang w:eastAsia="zh-CN"/>
        </w:rPr>
        <w:t>三</w:t>
      </w:r>
      <w:r>
        <w:rPr>
          <w:rFonts w:asciiTheme="majorEastAsia" w:eastAsiaTheme="majorEastAsia" w:hAnsiTheme="majorEastAsia" w:cstheme="majorEastAsia" w:hint="eastAsia"/>
          <w:color w:val="auto"/>
          <w:sz w:val="24"/>
          <w:szCs w:val="24"/>
          <w:highlight w:val="none"/>
        </w:rPr>
        <w:t>、实质性响应条款</w:t>
      </w:r>
    </w:p>
    <w:tbl>
      <w:tblPr>
        <w:tblStyle w:val="TableNormal"/>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6"/>
        <w:gridCol w:w="7623"/>
      </w:tblGrid>
      <w:tr>
        <w:tblPrEx>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67"/>
          <w:jc w:val="center"/>
        </w:trPr>
        <w:tc>
          <w:tcPr>
            <w:tcW w:w="906" w:type="dxa"/>
            <w:vAlign w:val="center"/>
          </w:tcPr>
          <w:p>
            <w:pPr>
              <w:adjustRightInd w:val="0"/>
              <w:snapToGrid w:val="0"/>
              <w:jc w:val="center"/>
              <w:rPr>
                <w:rFonts w:asciiTheme="majorEastAsia" w:eastAsiaTheme="majorEastAsia" w:hAnsiTheme="majorEastAsia" w:cstheme="majorEastAsia"/>
                <w:b/>
                <w:bCs/>
                <w:color w:val="auto"/>
                <w:kern w:val="0"/>
                <w:szCs w:val="21"/>
                <w:highlight w:val="none"/>
              </w:rPr>
            </w:pPr>
            <w:r>
              <w:rPr>
                <w:rFonts w:asciiTheme="majorEastAsia" w:eastAsiaTheme="majorEastAsia" w:hAnsiTheme="majorEastAsia" w:cstheme="majorEastAsia" w:hint="eastAsia"/>
                <w:b/>
                <w:bCs/>
                <w:color w:val="auto"/>
                <w:kern w:val="0"/>
                <w:szCs w:val="21"/>
                <w:highlight w:val="none"/>
              </w:rPr>
              <w:t>序号</w:t>
            </w:r>
          </w:p>
        </w:tc>
        <w:tc>
          <w:tcPr>
            <w:tcW w:w="7623" w:type="dxa"/>
            <w:vAlign w:val="center"/>
          </w:tcPr>
          <w:p>
            <w:pPr>
              <w:adjustRightInd w:val="0"/>
              <w:snapToGrid w:val="0"/>
              <w:jc w:val="center"/>
              <w:rPr>
                <w:rFonts w:asciiTheme="majorEastAsia" w:eastAsiaTheme="majorEastAsia" w:hAnsiTheme="majorEastAsia" w:cstheme="majorEastAsia"/>
                <w:b/>
                <w:bCs/>
                <w:color w:val="auto"/>
                <w:kern w:val="0"/>
                <w:szCs w:val="21"/>
                <w:highlight w:val="none"/>
              </w:rPr>
            </w:pPr>
            <w:r>
              <w:rPr>
                <w:rFonts w:asciiTheme="majorEastAsia" w:eastAsiaTheme="majorEastAsia" w:hAnsiTheme="majorEastAsia" w:cstheme="majorEastAsia" w:hint="eastAsia"/>
                <w:b/>
                <w:bCs/>
                <w:color w:val="auto"/>
                <w:kern w:val="0"/>
                <w:szCs w:val="21"/>
                <w:highlight w:val="none"/>
              </w:rPr>
              <w:t>具体内容</w:t>
            </w:r>
          </w:p>
        </w:tc>
      </w:tr>
      <w:tr>
        <w:tblPrEx>
          <w:tblW w:w="8529" w:type="dxa"/>
          <w:jc w:val="center"/>
          <w:tblLayout w:type="fixed"/>
          <w:tblCellMar>
            <w:top w:w="0" w:type="dxa"/>
            <w:left w:w="108" w:type="dxa"/>
            <w:bottom w:w="0" w:type="dxa"/>
            <w:right w:w="108" w:type="dxa"/>
          </w:tblCellMar>
        </w:tblPrEx>
        <w:trPr>
          <w:trHeight w:val="567"/>
          <w:jc w:val="center"/>
        </w:trPr>
        <w:tc>
          <w:tcPr>
            <w:tcW w:w="906" w:type="dxa"/>
            <w:vAlign w:val="center"/>
          </w:tcPr>
          <w:p>
            <w:pPr>
              <w:adjustRightInd w:val="0"/>
              <w:snapToGrid w:val="0"/>
              <w:jc w:val="center"/>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1</w:t>
            </w:r>
          </w:p>
        </w:tc>
        <w:tc>
          <w:tcPr>
            <w:tcW w:w="7623" w:type="dxa"/>
            <w:vAlign w:val="center"/>
          </w:tcPr>
          <w:p>
            <w:pPr>
              <w:adjustRightInd w:val="0"/>
              <w:snapToGrid w:val="0"/>
              <w:jc w:val="center"/>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完全满足本项目服务期限的要求。</w:t>
            </w:r>
          </w:p>
        </w:tc>
      </w:tr>
    </w:tbl>
    <w:p>
      <w:pPr>
        <w:rPr>
          <w:rFonts w:asciiTheme="majorEastAsia" w:eastAsiaTheme="majorEastAsia" w:hAnsiTheme="majorEastAsia" w:cstheme="majorEastAsia"/>
          <w:b/>
          <w:color w:val="auto"/>
          <w:kern w:val="0"/>
          <w:szCs w:val="21"/>
          <w:highlight w:val="none"/>
        </w:rPr>
      </w:pPr>
      <w:r>
        <w:rPr>
          <w:rFonts w:asciiTheme="majorEastAsia" w:eastAsiaTheme="majorEastAsia" w:hAnsiTheme="majorEastAsia" w:cstheme="majorEastAsia" w:hint="eastAsia"/>
          <w:b/>
          <w:color w:val="auto"/>
          <w:szCs w:val="21"/>
          <w:highlight w:val="none"/>
        </w:rPr>
        <w:t>备</w:t>
      </w:r>
      <w:r>
        <w:rPr>
          <w:rFonts w:asciiTheme="majorEastAsia" w:eastAsiaTheme="majorEastAsia" w:hAnsiTheme="majorEastAsia" w:cstheme="majorEastAsia" w:hint="eastAsia"/>
          <w:b/>
          <w:color w:val="auto"/>
          <w:kern w:val="0"/>
          <w:szCs w:val="21"/>
          <w:highlight w:val="none"/>
        </w:rPr>
        <w:t>注：</w:t>
      </w:r>
      <w:r>
        <w:rPr>
          <w:rFonts w:asciiTheme="majorEastAsia" w:eastAsiaTheme="majorEastAsia" w:hAnsiTheme="majorEastAsia" w:cstheme="majorEastAsia" w:hint="eastAsia"/>
          <w:bCs/>
          <w:color w:val="auto"/>
          <w:kern w:val="0"/>
          <w:szCs w:val="21"/>
          <w:highlight w:val="none"/>
        </w:rPr>
        <w:t>上表所列内容为不可负偏离条款，负偏离或未响应将视为未实质性满足招标文件要求作投标无效处理。</w:t>
      </w:r>
    </w:p>
    <w:p>
      <w:pPr>
        <w:pStyle w:val="Heading3"/>
        <w:keepNext w:val="0"/>
        <w:keepLines w:val="0"/>
        <w:spacing w:before="231" w:beforeLines="50" w:after="0"/>
        <w:ind w:firstLine="420" w:firstLineChars="200"/>
        <w:rPr>
          <w:rFonts w:asciiTheme="majorEastAsia" w:eastAsiaTheme="majorEastAsia" w:hAnsiTheme="majorEastAsia" w:cstheme="majorEastAsia" w:hint="eastAsia"/>
          <w:color w:val="auto"/>
          <w:sz w:val="24"/>
          <w:szCs w:val="24"/>
          <w:highlight w:val="none"/>
          <w:lang w:eastAsia="zh-CN"/>
        </w:rPr>
      </w:pPr>
      <w:bookmarkEnd w:id="29"/>
      <w:r>
        <w:rPr>
          <w:rFonts w:asciiTheme="majorEastAsia" w:eastAsiaTheme="majorEastAsia" w:hAnsiTheme="majorEastAsia" w:cstheme="majorEastAsia" w:hint="eastAsia"/>
          <w:color w:val="auto"/>
          <w:sz w:val="24"/>
          <w:szCs w:val="24"/>
          <w:highlight w:val="none"/>
        </w:rPr>
        <w:t>四、</w:t>
      </w:r>
      <w:r>
        <w:rPr>
          <w:rFonts w:asciiTheme="majorEastAsia" w:eastAsiaTheme="majorEastAsia" w:hAnsiTheme="majorEastAsia" w:cstheme="majorEastAsia" w:hint="eastAsia"/>
          <w:color w:val="auto"/>
          <w:sz w:val="24"/>
          <w:szCs w:val="24"/>
          <w:highlight w:val="none"/>
          <w:lang w:eastAsia="zh-CN"/>
        </w:rPr>
        <w:t>项目概况</w:t>
      </w:r>
    </w:p>
    <w:p>
      <w:pPr>
        <w:ind w:firstLine="420" w:firstLineChars="200"/>
        <w:rPr>
          <w:rFonts w:asciiTheme="majorEastAsia" w:eastAsiaTheme="majorEastAsia" w:hAnsiTheme="majorEastAsia" w:cstheme="majorEastAsia" w:hint="eastAsia"/>
          <w:color w:val="auto"/>
          <w:szCs w:val="28"/>
          <w:highlight w:val="none"/>
          <w:lang w:val="en-US" w:eastAsia="zh-CN"/>
        </w:rPr>
      </w:pPr>
      <w:r>
        <w:rPr>
          <w:rFonts w:asciiTheme="majorEastAsia" w:eastAsiaTheme="majorEastAsia" w:hAnsiTheme="majorEastAsia" w:cstheme="majorEastAsia" w:hint="eastAsia"/>
          <w:color w:val="auto"/>
          <w:szCs w:val="28"/>
          <w:highlight w:val="none"/>
          <w:lang w:val="en-US" w:eastAsia="zh-CN"/>
        </w:rPr>
        <w:t>通过传统媒体和新媒体宣传平台，广泛宣传残疾人生活状况、优秀残疾人及残疾人工作者的先进事迹、社会各界扶残助残事迹、残疾人工作进展及成效等，让社会更加关注、关心残疾人群体，支持并参与残疾人事业发展，营造残疾人平等、参与、共享的文明社会氛围。</w:t>
      </w:r>
    </w:p>
    <w:p>
      <w:pPr>
        <w:pStyle w:val="Heading3"/>
        <w:keepNext w:val="0"/>
        <w:keepLines w:val="0"/>
        <w:spacing w:before="231" w:beforeLines="50" w:after="0"/>
        <w:ind w:firstLine="420" w:firstLineChars="200"/>
        <w:rPr>
          <w:rFonts w:asciiTheme="majorEastAsia" w:eastAsiaTheme="majorEastAsia" w:hAnsiTheme="majorEastAsia" w:cstheme="majorEastAsia"/>
          <w:color w:val="auto"/>
          <w:sz w:val="24"/>
          <w:szCs w:val="24"/>
          <w:highlight w:val="none"/>
        </w:rPr>
      </w:pPr>
      <w:r>
        <w:rPr>
          <w:rFonts w:asciiTheme="majorEastAsia" w:eastAsiaTheme="majorEastAsia" w:hAnsiTheme="majorEastAsia" w:cstheme="majorEastAsia" w:hint="eastAsia"/>
          <w:color w:val="auto"/>
          <w:sz w:val="24"/>
          <w:szCs w:val="24"/>
          <w:highlight w:val="none"/>
          <w:lang w:eastAsia="zh-CN"/>
        </w:rPr>
        <w:t>五、</w:t>
      </w:r>
      <w:r>
        <w:rPr>
          <w:rFonts w:asciiTheme="majorEastAsia" w:eastAsiaTheme="majorEastAsia" w:hAnsiTheme="majorEastAsia" w:cstheme="majorEastAsia" w:hint="eastAsia"/>
          <w:color w:val="auto"/>
          <w:sz w:val="24"/>
          <w:szCs w:val="24"/>
          <w:highlight w:val="none"/>
        </w:rPr>
        <w:t>技术要求</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lang w:eastAsia="zh-CN"/>
        </w:rPr>
        <w:t>（一）</w:t>
      </w:r>
      <w:r>
        <w:rPr>
          <w:rFonts w:asciiTheme="majorEastAsia" w:eastAsiaTheme="majorEastAsia" w:hAnsiTheme="majorEastAsia" w:cstheme="majorEastAsia" w:hint="eastAsia"/>
          <w:color w:val="auto"/>
          <w:szCs w:val="28"/>
          <w:highlight w:val="none"/>
        </w:rPr>
        <w:t>短视频平台策划、采编、拍摄、制作等</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完成短视频平台的日常运营，合同期内制作不少于120条原创短视频，每条视频15-60秒，其中包含不少于1</w:t>
      </w:r>
      <w:r>
        <w:rPr>
          <w:rFonts w:asciiTheme="majorEastAsia" w:eastAsiaTheme="majorEastAsia" w:hAnsiTheme="majorEastAsia" w:cstheme="majorEastAsia" w:hint="eastAsia"/>
          <w:color w:val="auto"/>
          <w:szCs w:val="28"/>
          <w:highlight w:val="none"/>
          <w:lang w:val="en-US" w:eastAsia="zh-CN"/>
        </w:rPr>
        <w:t>2</w:t>
      </w:r>
      <w:r>
        <w:rPr>
          <w:rFonts w:asciiTheme="majorEastAsia" w:eastAsiaTheme="majorEastAsia" w:hAnsiTheme="majorEastAsia" w:cstheme="majorEastAsia" w:hint="eastAsia"/>
          <w:color w:val="auto"/>
          <w:szCs w:val="28"/>
          <w:highlight w:val="none"/>
        </w:rPr>
        <w:t>条爆款内容，</w:t>
      </w:r>
      <w:r>
        <w:rPr>
          <w:rFonts w:asciiTheme="majorEastAsia" w:eastAsiaTheme="majorEastAsia" w:hAnsiTheme="majorEastAsia" w:cstheme="majorEastAsia" w:hint="eastAsia"/>
          <w:color w:val="auto"/>
          <w:szCs w:val="28"/>
          <w:highlight w:val="none"/>
          <w:lang w:val="en-US" w:eastAsia="zh-CN"/>
        </w:rPr>
        <w:t>单条</w:t>
      </w:r>
      <w:r>
        <w:rPr>
          <w:rFonts w:asciiTheme="majorEastAsia" w:eastAsiaTheme="majorEastAsia" w:hAnsiTheme="majorEastAsia" w:cstheme="majorEastAsia" w:hint="eastAsia"/>
          <w:color w:val="auto"/>
          <w:szCs w:val="28"/>
          <w:highlight w:val="none"/>
        </w:rPr>
        <w:t>爆款视频的播放量不得少于50万，点赞量不得少于5000。此外，将根据实际宣传需求对已有视频素材进行二次创作。制作适合短视频平台传播的内容，并根据残疾人生活与残联工作的特点规划内容板块、制定投播计划。同时做好重要活动拍摄、录像工作。</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 xml:space="preserve"> 项目执行完毕后，短视频平台粉丝量需在往年基础上上涨10%，该项数据将作为短视频平台履约考核内容。</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lang w:eastAsia="zh-CN"/>
        </w:rPr>
        <w:t>（二）</w:t>
      </w:r>
      <w:r>
        <w:rPr>
          <w:rFonts w:asciiTheme="majorEastAsia" w:eastAsiaTheme="majorEastAsia" w:hAnsiTheme="majorEastAsia" w:cstheme="majorEastAsia" w:hint="eastAsia"/>
          <w:color w:val="auto"/>
          <w:szCs w:val="28"/>
          <w:highlight w:val="none"/>
        </w:rPr>
        <w:t>深圳残疾人网、微信公众号、微博的策划、采编</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1.内容釆写编辑发布，更新深圳市残疾人官网、微博、微信公众号内容。</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（1）稿件釆写编辑发布。根据市残联工作要求或主动釆写编辑发布相关内容，确保网站、微博、微信公众号及时更新。</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2）负责市残联微博和微信公众号运营，包括信息发布、留言回复、每月主要建议、维护推广等工作。微博和微信公众号上传稿件数量各不少于365条，其中原创内容每月不少于5篇。项目执行完毕后，微信公众号平台粉丝量需在往年基础上上涨10%，该项数据将作为微信公众号平台履约考核内容。</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（3）及时完善网站现有栏目的更新。</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2.数据分析服务，对深圳市残疾人联合会网站、微博、微信公众号运营过程中产生的各项数据进行统计整理，通过文章发刊量、文章阅读量、转发量、新增用户数、存量用户数、用户画像等多个维度分析运营数据，形成运营数据指标，每季度向</w:t>
      </w:r>
      <w:r>
        <w:rPr>
          <w:rFonts w:asciiTheme="majorEastAsia" w:eastAsiaTheme="majorEastAsia" w:hAnsiTheme="majorEastAsia" w:cstheme="majorEastAsia" w:hint="eastAsia"/>
          <w:color w:val="auto"/>
          <w:szCs w:val="28"/>
          <w:highlight w:val="none"/>
          <w:lang w:eastAsia="zh-CN"/>
        </w:rPr>
        <w:t>采购人</w:t>
      </w:r>
      <w:r>
        <w:rPr>
          <w:rFonts w:asciiTheme="majorEastAsia" w:eastAsiaTheme="majorEastAsia" w:hAnsiTheme="majorEastAsia" w:cstheme="majorEastAsia" w:hint="eastAsia"/>
          <w:color w:val="auto"/>
          <w:szCs w:val="28"/>
          <w:highlight w:val="none"/>
        </w:rPr>
        <w:t>提交相应的数据报告，分析流量导向、用户需求，指导稿件发布、专题策划、活动策划等运维工作。</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3.日常运维服务，提供技术力量保障网站、微博、微信公众号正常安全稳定运行。</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4.系统定期巡检服务，对部网站各个应用系统、应用中间件、数据库软件、服务器 系统提供部定期巡检服务，及时处理检查中发现的问题。一年内提供12次巡检，每月巡检 1次。每次巡检后出具巡检报告，巡检报告内容包括检查内容、检查方法、检查结果、问题现象、原因分析、处理方法、处理计划、处理后状况等。《巡检报告》交由</w:t>
      </w:r>
      <w:r>
        <w:rPr>
          <w:rFonts w:asciiTheme="majorEastAsia" w:eastAsiaTheme="majorEastAsia" w:hAnsiTheme="majorEastAsia" w:cstheme="majorEastAsia" w:hint="eastAsia"/>
          <w:color w:val="auto"/>
          <w:szCs w:val="28"/>
          <w:highlight w:val="none"/>
          <w:lang w:eastAsia="zh-CN"/>
        </w:rPr>
        <w:t>采购人</w:t>
      </w:r>
      <w:r>
        <w:rPr>
          <w:rFonts w:asciiTheme="majorEastAsia" w:eastAsiaTheme="majorEastAsia" w:hAnsiTheme="majorEastAsia" w:cstheme="majorEastAsia" w:hint="eastAsia"/>
          <w:color w:val="auto"/>
          <w:szCs w:val="28"/>
          <w:highlight w:val="none"/>
        </w:rPr>
        <w:t>确认，优化方案需提交至</w:t>
      </w:r>
      <w:r>
        <w:rPr>
          <w:rFonts w:asciiTheme="majorEastAsia" w:eastAsiaTheme="majorEastAsia" w:hAnsiTheme="majorEastAsia" w:cstheme="majorEastAsia" w:hint="eastAsia"/>
          <w:color w:val="auto"/>
          <w:szCs w:val="28"/>
          <w:highlight w:val="none"/>
          <w:lang w:eastAsia="zh-CN"/>
        </w:rPr>
        <w:t>采购人</w:t>
      </w:r>
      <w:r>
        <w:rPr>
          <w:rFonts w:asciiTheme="majorEastAsia" w:eastAsiaTheme="majorEastAsia" w:hAnsiTheme="majorEastAsia" w:cstheme="majorEastAsia" w:hint="eastAsia"/>
          <w:color w:val="auto"/>
          <w:szCs w:val="28"/>
          <w:highlight w:val="none"/>
        </w:rPr>
        <w:t>进行审核后，方可进行后续工作。</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5.网站信息无障碍服务，方便残疾人（视障者、听障者、读写障碍人士）在任何情况下都能平等、方便、无障碍地获取市残联官网信息并利用信息，网站构建的所有内容都应具有包容性，易读性和可读性。</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6.服务保障工作，提供必备的办公室设备、釆访设备及日常办公耗材。组织全体员工团队建设或技能培训。</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7.</w:t>
      </w:r>
      <w:r>
        <w:rPr>
          <w:rFonts w:asciiTheme="majorEastAsia" w:eastAsiaTheme="majorEastAsia" w:hAnsiTheme="majorEastAsia" w:cstheme="majorEastAsia" w:hint="eastAsia"/>
          <w:b/>
          <w:bCs/>
          <w:color w:val="auto"/>
          <w:szCs w:val="28"/>
          <w:highlight w:val="none"/>
        </w:rPr>
        <w:t>组建运营服务团队，项目承接方原则上需接收现行8名运营团队成员</w:t>
      </w:r>
      <w:r>
        <w:rPr>
          <w:rFonts w:asciiTheme="majorEastAsia" w:eastAsiaTheme="majorEastAsia" w:hAnsiTheme="majorEastAsia" w:cstheme="majorEastAsia" w:hint="eastAsia"/>
          <w:color w:val="auto"/>
          <w:szCs w:val="28"/>
          <w:highlight w:val="none"/>
        </w:rPr>
        <w:t>配备新闻釆写编辑、摄影摄像、美术编辑、技术运维等工作力量，确保项目运营高效保质保量。在合同期间，团队人员出现人事变动，</w:t>
      </w:r>
      <w:r>
        <w:rPr>
          <w:rFonts w:asciiTheme="majorEastAsia" w:eastAsiaTheme="majorEastAsia" w:hAnsiTheme="majorEastAsia" w:cstheme="majorEastAsia" w:hint="eastAsia"/>
          <w:color w:val="auto"/>
          <w:szCs w:val="28"/>
          <w:highlight w:val="none"/>
          <w:lang w:eastAsia="zh-CN"/>
        </w:rPr>
        <w:t>中标单位</w:t>
      </w:r>
      <w:r>
        <w:rPr>
          <w:rFonts w:asciiTheme="majorEastAsia" w:eastAsiaTheme="majorEastAsia" w:hAnsiTheme="majorEastAsia" w:cstheme="majorEastAsia" w:hint="eastAsia"/>
          <w:color w:val="auto"/>
          <w:szCs w:val="28"/>
          <w:highlight w:val="none"/>
        </w:rPr>
        <w:t>需出具书面报告，并取得</w:t>
      </w:r>
      <w:r>
        <w:rPr>
          <w:rFonts w:asciiTheme="majorEastAsia" w:eastAsiaTheme="majorEastAsia" w:hAnsiTheme="majorEastAsia" w:cstheme="majorEastAsia" w:hint="eastAsia"/>
          <w:color w:val="auto"/>
          <w:szCs w:val="28"/>
          <w:highlight w:val="none"/>
          <w:lang w:eastAsia="zh-CN"/>
        </w:rPr>
        <w:t>采购人</w:t>
      </w:r>
      <w:r>
        <w:rPr>
          <w:rFonts w:asciiTheme="majorEastAsia" w:eastAsiaTheme="majorEastAsia" w:hAnsiTheme="majorEastAsia" w:cstheme="majorEastAsia" w:hint="eastAsia"/>
          <w:color w:val="auto"/>
          <w:szCs w:val="28"/>
          <w:highlight w:val="none"/>
        </w:rPr>
        <w:t>的同意后，方可执行。</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8.做好网络安全保障，项目承接方应保障网站、微博、微信公众号的信息安全工作，确保敏感信息不泄露，保障市残联知识产权和技术产权；如发现安全漏洞，应及时解决，以保持网站各项配置和运行环境的稳定运行。</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lang w:eastAsia="zh-CN"/>
        </w:rPr>
        <w:t>（三）</w:t>
      </w:r>
      <w:r>
        <w:rPr>
          <w:rFonts w:asciiTheme="majorEastAsia" w:eastAsiaTheme="majorEastAsia" w:hAnsiTheme="majorEastAsia" w:cstheme="majorEastAsia" w:hint="eastAsia"/>
          <w:color w:val="auto"/>
          <w:szCs w:val="28"/>
          <w:highlight w:val="none"/>
        </w:rPr>
        <w:t>残疾人工作主题漫画、海报的绘制</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策划并制作不少于5套主题系列漫画，具体内容、主题可自由构思。另外根据</w:t>
      </w:r>
      <w:r>
        <w:rPr>
          <w:rFonts w:asciiTheme="majorEastAsia" w:eastAsiaTheme="majorEastAsia" w:hAnsiTheme="majorEastAsia" w:cstheme="majorEastAsia" w:hint="eastAsia"/>
          <w:color w:val="auto"/>
          <w:szCs w:val="28"/>
          <w:highlight w:val="none"/>
          <w:lang w:eastAsia="zh-CN"/>
        </w:rPr>
        <w:t>采购人</w:t>
      </w:r>
      <w:r>
        <w:rPr>
          <w:rFonts w:asciiTheme="majorEastAsia" w:eastAsiaTheme="majorEastAsia" w:hAnsiTheme="majorEastAsia" w:cstheme="majorEastAsia" w:hint="eastAsia"/>
          <w:color w:val="auto"/>
          <w:szCs w:val="28"/>
          <w:highlight w:val="none"/>
        </w:rPr>
        <w:t>的要求制作不少于5张海报，并按照</w:t>
      </w:r>
      <w:r>
        <w:rPr>
          <w:rFonts w:asciiTheme="majorEastAsia" w:eastAsiaTheme="majorEastAsia" w:hAnsiTheme="majorEastAsia" w:cstheme="majorEastAsia" w:hint="eastAsia"/>
          <w:color w:val="auto"/>
          <w:szCs w:val="28"/>
          <w:highlight w:val="none"/>
          <w:lang w:eastAsia="zh-CN"/>
        </w:rPr>
        <w:t>采购人</w:t>
      </w:r>
      <w:r>
        <w:rPr>
          <w:rFonts w:asciiTheme="majorEastAsia" w:eastAsiaTheme="majorEastAsia" w:hAnsiTheme="majorEastAsia" w:cstheme="majorEastAsia" w:hint="eastAsia"/>
          <w:color w:val="auto"/>
          <w:szCs w:val="28"/>
          <w:highlight w:val="none"/>
        </w:rPr>
        <w:t>需求在相应平台宣传。</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lang w:eastAsia="zh-CN"/>
        </w:rPr>
        <w:t>（四）</w:t>
      </w:r>
      <w:r>
        <w:rPr>
          <w:rFonts w:asciiTheme="majorEastAsia" w:eastAsiaTheme="majorEastAsia" w:hAnsiTheme="majorEastAsia" w:cstheme="majorEastAsia" w:hint="eastAsia"/>
          <w:color w:val="auto"/>
          <w:szCs w:val="28"/>
          <w:highlight w:val="none"/>
        </w:rPr>
        <w:t>宣传推广</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lang w:val="en-US" w:eastAsia="zh-CN"/>
        </w:rPr>
        <w:t>1</w:t>
      </w:r>
      <w:r>
        <w:rPr>
          <w:rFonts w:asciiTheme="majorEastAsia" w:eastAsiaTheme="majorEastAsia" w:hAnsiTheme="majorEastAsia" w:cstheme="majorEastAsia" w:hint="eastAsia"/>
          <w:color w:val="auto"/>
          <w:szCs w:val="28"/>
          <w:highlight w:val="none"/>
        </w:rPr>
        <w:t>.在抖音、视频号等平台对</w:t>
      </w:r>
      <w:r>
        <w:rPr>
          <w:rFonts w:asciiTheme="majorEastAsia" w:eastAsiaTheme="majorEastAsia" w:hAnsiTheme="majorEastAsia" w:cstheme="majorEastAsia" w:hint="eastAsia"/>
          <w:color w:val="auto"/>
          <w:szCs w:val="28"/>
          <w:highlight w:val="none"/>
          <w:lang w:eastAsia="zh-CN"/>
        </w:rPr>
        <w:t>采购人</w:t>
      </w:r>
      <w:r>
        <w:rPr>
          <w:rFonts w:asciiTheme="majorEastAsia" w:eastAsiaTheme="majorEastAsia" w:hAnsiTheme="majorEastAsia" w:cstheme="majorEastAsia" w:hint="eastAsia"/>
          <w:color w:val="auto"/>
          <w:szCs w:val="28"/>
          <w:highlight w:val="none"/>
        </w:rPr>
        <w:t>所指定的短视频进行流量扶持，助力短视频的传播力;</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lang w:val="en-US" w:eastAsia="zh-CN"/>
        </w:rPr>
        <w:t>2</w:t>
      </w:r>
      <w:r>
        <w:rPr>
          <w:rFonts w:asciiTheme="majorEastAsia" w:eastAsiaTheme="majorEastAsia" w:hAnsiTheme="majorEastAsia" w:cstheme="majorEastAsia" w:hint="eastAsia"/>
          <w:color w:val="auto"/>
          <w:szCs w:val="28"/>
          <w:highlight w:val="none"/>
        </w:rPr>
        <w:t>.知名网络新闻平台进行宣传;</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lang w:val="en-US" w:eastAsia="zh-CN"/>
        </w:rPr>
        <w:t>3</w:t>
      </w:r>
      <w:r>
        <w:rPr>
          <w:rFonts w:asciiTheme="majorEastAsia" w:eastAsiaTheme="majorEastAsia" w:hAnsiTheme="majorEastAsia" w:cstheme="majorEastAsia" w:hint="eastAsia"/>
          <w:color w:val="auto"/>
          <w:szCs w:val="28"/>
          <w:highlight w:val="none"/>
        </w:rPr>
        <w:t>.知名互联网 app 广告进行推广;</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lang w:val="en-US" w:eastAsia="zh-CN"/>
        </w:rPr>
        <w:t>4</w:t>
      </w:r>
      <w:r>
        <w:rPr>
          <w:rFonts w:asciiTheme="majorEastAsia" w:eastAsiaTheme="majorEastAsia" w:hAnsiTheme="majorEastAsia" w:cstheme="majorEastAsia" w:hint="eastAsia"/>
          <w:color w:val="auto"/>
          <w:szCs w:val="28"/>
          <w:highlight w:val="none"/>
        </w:rPr>
        <w:t>.要求结合大数据分析进行精准社交媒介投放，包括区域定向和精准的人群画像；</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lang w:val="en-US" w:eastAsia="zh-CN"/>
        </w:rPr>
        <w:t>5</w:t>
      </w:r>
      <w:r>
        <w:rPr>
          <w:rFonts w:asciiTheme="majorEastAsia" w:eastAsiaTheme="majorEastAsia" w:hAnsiTheme="majorEastAsia" w:cstheme="majorEastAsia" w:hint="eastAsia"/>
          <w:color w:val="auto"/>
          <w:szCs w:val="28"/>
          <w:highlight w:val="none"/>
        </w:rPr>
        <w:t>.要求根据深圳市残疾人联合会全年重要节点投放线上广告，精准定向到区域和人群；</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lang w:val="en-US" w:eastAsia="zh-CN"/>
        </w:rPr>
        <w:t>6</w:t>
      </w:r>
      <w:r>
        <w:rPr>
          <w:rFonts w:asciiTheme="majorEastAsia" w:eastAsiaTheme="majorEastAsia" w:hAnsiTheme="majorEastAsia" w:cstheme="majorEastAsia" w:hint="eastAsia"/>
          <w:color w:val="auto"/>
          <w:szCs w:val="28"/>
          <w:highlight w:val="none"/>
        </w:rPr>
        <w:t>.要求制作定制化内容，对重大节日活动有节点、有计划地策划内容产品、通过多渠道进行宣传推广。</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lang w:eastAsia="zh-CN"/>
        </w:rPr>
        <w:t>（五）</w:t>
      </w:r>
      <w:r>
        <w:rPr>
          <w:rFonts w:asciiTheme="majorEastAsia" w:eastAsiaTheme="majorEastAsia" w:hAnsiTheme="majorEastAsia" w:cstheme="majorEastAsia" w:hint="eastAsia"/>
          <w:color w:val="auto"/>
          <w:szCs w:val="28"/>
          <w:highlight w:val="none"/>
        </w:rPr>
        <w:t>在全国助残日、国际残疾人日、特殊文化节、无障碍促进日组织主题活动、现场直播及直播技术支持</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1.“圆梦365”残疾人微心愿征集活动</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残疾人作为弱势群体，更应该得到全社会的关心关怀。通过不间断征集残疾人微心愿，为残疾人朋友解决小困难，实现小需求、小心愿......，市残联同爱心企业、社会组织相联动，在官网上向市民发布心愿认领活动，通过认领方式，帮助残疾人实现自身的愿望。</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2.深圳无障碍城市线上探索行动</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近年来，深圳率先建设无障碍城市，无障碍城市建设工作走在全省乃至全国前列。2021年9月1日，《深圳经济特区无障碍城市建设条例》正式实施，这也是全国首部无障碍城市建设立法。为积极引导市民参与无障碍城市建设，让无障碍城市观念深入人心，推动无障碍城市建设发展，</w:t>
      </w:r>
      <w:r>
        <w:rPr>
          <w:rFonts w:asciiTheme="majorEastAsia" w:eastAsiaTheme="majorEastAsia" w:hAnsiTheme="majorEastAsia" w:cstheme="majorEastAsia" w:hint="eastAsia"/>
          <w:color w:val="auto"/>
          <w:szCs w:val="28"/>
          <w:highlight w:val="none"/>
          <w:lang w:eastAsia="zh-CN"/>
        </w:rPr>
        <w:t>采购人</w:t>
      </w:r>
      <w:r>
        <w:rPr>
          <w:rFonts w:asciiTheme="majorEastAsia" w:eastAsiaTheme="majorEastAsia" w:hAnsiTheme="majorEastAsia" w:cstheme="majorEastAsia" w:hint="eastAsia"/>
          <w:color w:val="auto"/>
          <w:szCs w:val="28"/>
          <w:highlight w:val="none"/>
        </w:rPr>
        <w:t>将在线上发起“深爱·无障碍”深圳无障碍城市线上探索行动。活动将在“深圳市残疾人联合会”抖音号及官方微博进行。</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3.残疾人文化展</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在网红打卡点通过举办残疾文化展，唤醒社会对残疾人的理解、尊重、关心、帮助的共识，宣传残疾人积极向上的美好生活，展现残疾人自强不息的精神面貌。</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4.“十大最美天使守护者”网络评选活动</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以“十大最美天使守护者”为主题，评选出十位深圳助残爱残人士，展现广大助残、爱残人士的优秀品质和良好精神风貌，激励广大市民共同助残、爱残，积极投身残疾人事业发展，动员更多人加入助残、爱残队伍，展现新作为，学习最美、争当最美。</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5.有奖主题游戏</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围绕无障碍城市建设条例、无障碍设计标准、残疾人就业条例等主题内容，开发设计有奖问答游戏及有奖场景体验游戏。通过小游戏寓教于乐的形式，让市民在互动游戏的过程中既获取相关知识，又能赢取精美礼品或微信小红包。小游戏拟共开发4期，每季度上线1期。</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6.残健共融系列主题活动</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招募健全人深入残疾人群体之中，体验残疾人的一天，与社区合作开展盲人象棋等主题活动，提升市民对残疾人群体的认知度，营造残健共享共融的良好社会环境。</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7.现场直播和直播技术支持。</w:t>
      </w:r>
    </w:p>
    <w:p>
      <w:pPr>
        <w:ind w:firstLine="420" w:firstLineChars="200"/>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8.制作残疾人工作宣传品。</w:t>
      </w:r>
    </w:p>
    <w:p>
      <w:pPr>
        <w:pStyle w:val="Heading3"/>
        <w:keepNext w:val="0"/>
        <w:keepLines w:val="0"/>
        <w:spacing w:before="231" w:beforeLines="50" w:after="0"/>
        <w:ind w:firstLine="420" w:firstLineChars="200"/>
        <w:rPr>
          <w:rFonts w:asciiTheme="majorEastAsia" w:eastAsiaTheme="majorEastAsia" w:hAnsiTheme="majorEastAsia" w:cstheme="majorEastAsia"/>
          <w:color w:val="auto"/>
          <w:sz w:val="24"/>
          <w:szCs w:val="24"/>
          <w:highlight w:val="none"/>
        </w:rPr>
      </w:pPr>
      <w:r>
        <w:rPr>
          <w:rFonts w:asciiTheme="majorEastAsia" w:eastAsiaTheme="majorEastAsia" w:hAnsiTheme="majorEastAsia" w:cstheme="majorEastAsia" w:hint="eastAsia"/>
          <w:color w:val="auto"/>
          <w:sz w:val="24"/>
          <w:szCs w:val="24"/>
          <w:highlight w:val="none"/>
          <w:lang w:eastAsia="zh-CN"/>
        </w:rPr>
        <w:t>六</w:t>
      </w:r>
      <w:r>
        <w:rPr>
          <w:rFonts w:asciiTheme="majorEastAsia" w:eastAsiaTheme="majorEastAsia" w:hAnsiTheme="majorEastAsia" w:cstheme="majorEastAsia" w:hint="eastAsia"/>
          <w:color w:val="auto"/>
          <w:sz w:val="24"/>
          <w:szCs w:val="24"/>
          <w:highlight w:val="none"/>
        </w:rPr>
        <w:t>、商务要求</w:t>
      </w:r>
    </w:p>
    <w:p>
      <w:pPr>
        <w:ind w:firstLine="420" w:firstLineChars="200"/>
        <w:rPr>
          <w:rFonts w:asciiTheme="majorEastAsia" w:eastAsiaTheme="majorEastAsia" w:hAnsiTheme="majorEastAsia" w:cstheme="majorEastAsia" w:hint="eastAsia"/>
          <w:color w:val="auto"/>
          <w:szCs w:val="28"/>
          <w:highlight w:val="none"/>
          <w:lang w:eastAsia="zh-CN"/>
        </w:rPr>
      </w:pPr>
      <w:r>
        <w:rPr>
          <w:rFonts w:asciiTheme="majorEastAsia" w:eastAsiaTheme="majorEastAsia" w:hAnsiTheme="majorEastAsia" w:cstheme="majorEastAsia" w:hint="eastAsia"/>
          <w:color w:val="auto"/>
          <w:szCs w:val="28"/>
          <w:highlight w:val="none"/>
        </w:rPr>
        <w:t>（一）服务期限：签订合同日期起至202</w:t>
      </w:r>
      <w:r>
        <w:rPr>
          <w:rFonts w:asciiTheme="majorEastAsia" w:eastAsiaTheme="majorEastAsia" w:hAnsiTheme="majorEastAsia" w:cstheme="majorEastAsia" w:hint="eastAsia"/>
          <w:color w:val="auto"/>
          <w:szCs w:val="28"/>
          <w:highlight w:val="none"/>
          <w:lang w:val="en-US" w:eastAsia="zh-CN"/>
        </w:rPr>
        <w:t>3</w:t>
      </w:r>
      <w:r>
        <w:rPr>
          <w:rFonts w:asciiTheme="majorEastAsia" w:eastAsiaTheme="majorEastAsia" w:hAnsiTheme="majorEastAsia" w:cstheme="majorEastAsia" w:hint="eastAsia"/>
          <w:color w:val="auto"/>
          <w:szCs w:val="28"/>
          <w:highlight w:val="none"/>
        </w:rPr>
        <w:t>年12月31日</w:t>
      </w:r>
      <w:r>
        <w:rPr>
          <w:rFonts w:asciiTheme="majorEastAsia" w:eastAsiaTheme="majorEastAsia" w:hAnsiTheme="majorEastAsia" w:cstheme="majorEastAsia" w:hint="eastAsia"/>
          <w:color w:val="auto"/>
          <w:szCs w:val="28"/>
          <w:highlight w:val="none"/>
          <w:lang w:eastAsia="zh-CN"/>
        </w:rPr>
        <w:t>；</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（二）付款方式</w:t>
      </w:r>
      <w:r>
        <w:rPr>
          <w:rFonts w:asciiTheme="majorEastAsia" w:eastAsiaTheme="majorEastAsia" w:hAnsiTheme="majorEastAsia" w:cstheme="majorEastAsia" w:hint="eastAsia"/>
          <w:color w:val="auto"/>
          <w:szCs w:val="28"/>
          <w:highlight w:val="none"/>
          <w:lang w:eastAsia="zh-CN"/>
        </w:rPr>
        <w:t>：</w:t>
      </w:r>
      <w:r>
        <w:rPr>
          <w:rFonts w:asciiTheme="majorEastAsia" w:eastAsiaTheme="majorEastAsia" w:hAnsiTheme="majorEastAsia" w:cstheme="majorEastAsia" w:hint="eastAsia"/>
          <w:color w:val="auto"/>
          <w:szCs w:val="28"/>
          <w:highlight w:val="none"/>
        </w:rPr>
        <w:t>分三期付款，合同签订支付合同总金额的70%；合同签订6个月后支付20%；通过项目评估，验收合格后，支付合同余款10%。</w:t>
      </w:r>
    </w:p>
    <w:p>
      <w:pPr>
        <w:pStyle w:val="Heading3"/>
        <w:keepNext w:val="0"/>
        <w:keepLines w:val="0"/>
        <w:spacing w:before="231" w:beforeLines="50" w:after="0"/>
        <w:ind w:firstLine="420" w:firstLineChars="200"/>
        <w:rPr>
          <w:rFonts w:asciiTheme="majorEastAsia" w:eastAsiaTheme="majorEastAsia" w:hAnsiTheme="majorEastAsia" w:cstheme="majorEastAsia"/>
          <w:color w:val="auto"/>
          <w:sz w:val="24"/>
          <w:szCs w:val="24"/>
          <w:highlight w:val="none"/>
        </w:rPr>
      </w:pPr>
      <w:r>
        <w:rPr>
          <w:rFonts w:asciiTheme="majorEastAsia" w:eastAsiaTheme="majorEastAsia" w:hAnsiTheme="majorEastAsia" w:cstheme="majorEastAsia" w:hint="eastAsia"/>
          <w:color w:val="auto"/>
          <w:sz w:val="24"/>
          <w:szCs w:val="24"/>
          <w:highlight w:val="none"/>
          <w:lang w:eastAsia="zh-CN"/>
        </w:rPr>
        <w:t>七</w:t>
      </w:r>
      <w:r>
        <w:rPr>
          <w:rFonts w:asciiTheme="majorEastAsia" w:eastAsiaTheme="majorEastAsia" w:hAnsiTheme="majorEastAsia" w:cstheme="majorEastAsia" w:hint="eastAsia"/>
          <w:color w:val="auto"/>
          <w:sz w:val="24"/>
          <w:szCs w:val="24"/>
          <w:highlight w:val="none"/>
        </w:rPr>
        <w:t>、其他要求</w:t>
      </w:r>
    </w:p>
    <w:p>
      <w:pPr>
        <w:spacing w:line="440" w:lineRule="exact"/>
        <w:ind w:firstLine="420" w:firstLineChars="200"/>
        <w:rPr>
          <w:rFonts w:asciiTheme="majorEastAsia" w:eastAsiaTheme="majorEastAsia" w:hAnsiTheme="majorEastAsia" w:cstheme="majorEastAsia"/>
          <w:color w:val="auto"/>
          <w:highlight w:val="none"/>
        </w:rPr>
      </w:pPr>
      <w:bookmarkStart w:id="30" w:name="_Hlk72257111"/>
      <w:r>
        <w:rPr>
          <w:rFonts w:asciiTheme="majorEastAsia" w:eastAsiaTheme="majorEastAsia" w:hAnsiTheme="majorEastAsia" w:cstheme="majorEastAsia" w:hint="eastAsia"/>
          <w:color w:val="auto"/>
          <w:highlight w:val="none"/>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spacing w:line="44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2、投标人应充分了解项目的位置、情况、道路及任何其它足以影响投标报价的情况，任何因忽视或误解项目情况而导致的索赔或服务期限延长申请将不获批准。</w:t>
      </w:r>
    </w:p>
    <w:p>
      <w:pPr>
        <w:spacing w:line="44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3、投标人不得期望通过索赔等方式获取补偿，否则，除可能遭到拒绝外，还可能将被作为不良行为记录在案，并可能影响其以后参加政府采购的项目投标。各投标人在投标报价时，应充分考虑投标报价的风险。</w:t>
      </w:r>
    </w:p>
    <w:p>
      <w:pPr>
        <w:spacing w:line="44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spacing w:line="44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5、除政府采购合同继续履行将损害国家利益和社会公共利益外，双方当事人不得擅自变更、中止或者终止合同。</w:t>
      </w:r>
    </w:p>
    <w:p>
      <w:pPr>
        <w:spacing w:line="44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6、“信用中国”、“中国政府采购网”、“深圳信用网”以及“深圳市政府采购监管网”为供应商信用信息的查询渠道，相关信息以开标当日的查询结果为准。</w:t>
      </w:r>
      <w:bookmarkEnd w:id="30"/>
    </w:p>
    <w:p>
      <w:pPr>
        <w:spacing w:line="44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br w:type="page"/>
      </w:r>
    </w:p>
    <w:p>
      <w:pPr>
        <w:pStyle w:val="Heading2"/>
        <w:rPr>
          <w:rFonts w:ascii="微软雅黑" w:eastAsia="微软雅黑" w:hAnsi="微软雅黑" w:cs="微软雅黑"/>
          <w:b/>
          <w:bCs/>
          <w:color w:val="auto"/>
          <w:sz w:val="32"/>
          <w:szCs w:val="32"/>
          <w:highlight w:val="none"/>
        </w:rPr>
      </w:pPr>
      <w:r>
        <w:rPr>
          <w:rFonts w:ascii="微软雅黑" w:eastAsia="微软雅黑" w:hAnsi="微软雅黑" w:cs="微软雅黑" w:hint="eastAsia"/>
          <w:b/>
          <w:bCs/>
          <w:color w:val="auto"/>
          <w:sz w:val="32"/>
          <w:szCs w:val="32"/>
          <w:highlight w:val="none"/>
        </w:rPr>
        <w:t>第三章  投标文件格式、附件</w:t>
      </w:r>
    </w:p>
    <w:p>
      <w:pPr>
        <w:rPr>
          <w:rStyle w:val="3Char"/>
          <w:rFonts w:ascii="微软雅黑" w:eastAsia="微软雅黑" w:hAnsi="微软雅黑" w:cs="微软雅黑"/>
          <w:b/>
          <w:color w:val="auto"/>
          <w:sz w:val="24"/>
          <w:highlight w:val="none"/>
        </w:rPr>
      </w:pPr>
      <w:r>
        <w:rPr>
          <w:rStyle w:val="3Char"/>
          <w:rFonts w:ascii="微软雅黑" w:eastAsia="微软雅黑" w:hAnsi="微软雅黑" w:cs="微软雅黑" w:hint="eastAsia"/>
          <w:b/>
          <w:color w:val="auto"/>
          <w:sz w:val="24"/>
          <w:highlight w:val="none"/>
        </w:rPr>
        <w:t>特别提醒：</w:t>
      </w:r>
    </w:p>
    <w:p>
      <w:pPr>
        <w:spacing w:line="44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spacing w:line="44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投标文件正文（信息公开部分）必须编制于“投标书目录”部分，投标文件附件（非信息公开部分）必须编制于“投标书附件”部分，如下图所示。</w:t>
      </w:r>
    </w:p>
    <w:p>
      <w:pPr>
        <w:rPr>
          <w:rFonts w:ascii="宋体" w:hAnsi="宋体" w:cs="宋体"/>
          <w:color w:val="auto"/>
          <w:szCs w:val="21"/>
          <w:highlight w:val="none"/>
        </w:rPr>
      </w:pPr>
      <w:r>
        <w:rPr>
          <w:rFonts w:ascii="宋体" w:hAnsi="宋体" w:cs="宋体" w:hint="eastAsia"/>
          <w:color w:val="auto"/>
          <w:sz w:val="24"/>
          <w:highlight w:val="none"/>
        </w:rPr>
        <w:drawing>
          <wp:inline distT="0" distB="0" distL="0" distR="0">
            <wp:extent cx="5278755" cy="4126230"/>
            <wp:effectExtent l="0" t="0" r="17145" b="7620"/>
            <wp:docPr id="14" name="图片 14"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形用户界面, 应用程序&#10;&#10;描述已自动生成"/>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pPr>
        <w:spacing w:line="440" w:lineRule="exact"/>
        <w:ind w:firstLine="420" w:firstLineChars="200"/>
        <w:rPr>
          <w:rFonts w:asciiTheme="majorEastAsia" w:eastAsiaTheme="majorEastAsia" w:hAnsiTheme="majorEastAsia" w:cstheme="majorEastAsia"/>
          <w:b/>
          <w:color w:val="auto"/>
          <w:sz w:val="24"/>
          <w:highlight w:val="none"/>
        </w:rPr>
      </w:pPr>
      <w:r>
        <w:rPr>
          <w:rFonts w:asciiTheme="majorEastAsia" w:eastAsiaTheme="majorEastAsia" w:hAnsiTheme="majorEastAsia" w:cstheme="majorEastAsia" w:hint="eastAsia"/>
          <w:color w:val="auto"/>
          <w:szCs w:val="21"/>
          <w:highlight w:val="none"/>
        </w:rPr>
        <w:t>我单位公布投标文件正文（信息公开部分）时为计算机截取信息自动公布，如投标人误将涉及个人隐私的信息放入投标文件正文，相关后果由投标人自负；如投标人将必须放于投标文件正文（信息公开部分）的内容放入投标文件附件（非信息公开部分）以回避信息公开，评标委员会有权作投标无效或相应内容不予得分的处理。</w:t>
      </w:r>
    </w:p>
    <w:p>
      <w:pPr>
        <w:rPr>
          <w:rFonts w:asciiTheme="majorEastAsia" w:eastAsiaTheme="majorEastAsia" w:hAnsiTheme="majorEastAsia" w:cstheme="majorEastAsia"/>
          <w:b/>
          <w:color w:val="auto"/>
          <w:sz w:val="24"/>
          <w:highlight w:val="none"/>
        </w:rPr>
      </w:pPr>
      <w:r>
        <w:rPr>
          <w:rFonts w:asciiTheme="majorEastAsia" w:eastAsiaTheme="majorEastAsia" w:hAnsiTheme="majorEastAsia" w:cstheme="majorEastAsia" w:hint="eastAsia"/>
          <w:b/>
          <w:color w:val="auto"/>
          <w:sz w:val="24"/>
          <w:highlight w:val="none"/>
        </w:rPr>
        <w:br w:type="page"/>
      </w:r>
    </w:p>
    <w:p>
      <w:pPr>
        <w:spacing w:line="400" w:lineRule="exact"/>
        <w:rPr>
          <w:rFonts w:ascii="微软雅黑" w:eastAsia="微软雅黑" w:hAnsi="微软雅黑" w:cs="微软雅黑"/>
          <w:b/>
          <w:color w:val="auto"/>
          <w:sz w:val="24"/>
          <w:highlight w:val="none"/>
        </w:rPr>
      </w:pPr>
      <w:r>
        <w:rPr>
          <w:rFonts w:ascii="微软雅黑" w:eastAsia="微软雅黑" w:hAnsi="微软雅黑" w:cs="微软雅黑" w:hint="eastAsia"/>
          <w:b/>
          <w:color w:val="auto"/>
          <w:sz w:val="24"/>
          <w:highlight w:val="none"/>
        </w:rPr>
        <w:t>投标文件组成：</w:t>
      </w:r>
    </w:p>
    <w:p>
      <w:pPr>
        <w:spacing w:line="360" w:lineRule="exact"/>
        <w:ind w:firstLine="424" w:firstLineChars="202"/>
        <w:rPr>
          <w:rFonts w:asciiTheme="majorEastAsia" w:eastAsiaTheme="majorEastAsia" w:hAnsiTheme="majorEastAsia" w:cstheme="majorEastAsia"/>
          <w:b/>
          <w:bCs/>
          <w:color w:val="auto"/>
          <w:sz w:val="24"/>
          <w:highlight w:val="none"/>
        </w:rPr>
      </w:pPr>
      <w:r>
        <w:rPr>
          <w:rFonts w:asciiTheme="majorEastAsia" w:eastAsiaTheme="majorEastAsia" w:hAnsiTheme="majorEastAsia" w:cstheme="majorEastAsia" w:hint="eastAsia"/>
          <w:b/>
          <w:bCs/>
          <w:color w:val="auto"/>
          <w:highlight w:val="none"/>
        </w:rPr>
        <w:t>一、投标文件正文</w:t>
      </w:r>
      <w:r>
        <w:rPr>
          <w:rFonts w:asciiTheme="majorEastAsia" w:eastAsiaTheme="majorEastAsia" w:hAnsiTheme="majorEastAsia" w:cstheme="majorEastAsia" w:hint="eastAsia"/>
          <w:b/>
          <w:bCs/>
          <w:color w:val="auto"/>
          <w:szCs w:val="21"/>
          <w:highlight w:val="none"/>
        </w:rPr>
        <w:t>（信息公开部分）</w:t>
      </w:r>
      <w:r>
        <w:rPr>
          <w:rFonts w:asciiTheme="majorEastAsia" w:eastAsiaTheme="majorEastAsia" w:hAnsiTheme="majorEastAsia" w:cstheme="majorEastAsia" w:hint="eastAsia"/>
          <w:b/>
          <w:bCs/>
          <w:color w:val="auto"/>
          <w:highlight w:val="none"/>
        </w:rPr>
        <w:t>，主要</w:t>
      </w:r>
      <w:r>
        <w:rPr>
          <w:rFonts w:asciiTheme="majorEastAsia" w:eastAsiaTheme="majorEastAsia" w:hAnsiTheme="majorEastAsia" w:cstheme="majorEastAsia" w:hint="eastAsia"/>
          <w:b/>
          <w:bCs/>
          <w:color w:val="auto"/>
          <w:szCs w:val="21"/>
          <w:highlight w:val="none"/>
        </w:rPr>
        <w:t>包括以下内容：</w:t>
      </w:r>
      <w:r>
        <w:rPr>
          <w:rFonts w:asciiTheme="majorEastAsia" w:eastAsiaTheme="majorEastAsia" w:hAnsiTheme="majorEastAsia" w:cstheme="majorEastAsia" w:hint="eastAsia"/>
          <w:b/>
          <w:bCs/>
          <w:color w:val="auto"/>
          <w:highlight w:val="none"/>
        </w:rPr>
        <w:t>：</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1、投标函</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2、政府采购投标及履约承诺函</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3、资格证明材料</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w:t>
      </w:r>
      <w:r>
        <w:rPr>
          <w:rFonts w:asciiTheme="majorEastAsia" w:eastAsiaTheme="majorEastAsia" w:hAnsiTheme="majorEastAsia" w:cstheme="majorEastAsia" w:hint="eastAsia"/>
          <w:color w:val="auto"/>
          <w:szCs w:val="28"/>
          <w:highlight w:val="none"/>
        </w:rPr>
        <w:t>中小企业、残疾人福利性单位及监狱企业声明函</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5、详细分项报价清单</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p>
    <w:p>
      <w:pPr>
        <w:pStyle w:val="NormalIndent"/>
        <w:spacing w:line="360" w:lineRule="exact"/>
        <w:ind w:firstLine="424" w:firstLineChars="202"/>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二、投标文件附件（非信息公开部分），主要包括以下内容：</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1、法定代表人证明书</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2、投标文件签署授权委托书</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3、实质性响应条款偏离表</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4、技术部分内容</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（1）实施方案（格式自定）</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（2）项目重点难点分析、应对措施及相关的合理化建议（格式自定）</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（3）质量（完成时间、安全、环保）保障措施及方案（格式自定）</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（4）项目完成（服务期满）后的服务承诺（格式自定）</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（5）违约承诺（格式自定）</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5、商务部分内容</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（1）投标人通过相关认证情况（格式自定）</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（2）投标人同类项目业绩情况（格式自定）</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（3）投标人网站及微信公众号运营情况（格式自定）</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（4）投标人获奖情况（格式自定）</w:t>
      </w:r>
    </w:p>
    <w:p>
      <w:pPr>
        <w:pStyle w:val="NormalIndent"/>
        <w:spacing w:line="36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（5）拟安排的项目负责人情况（仅限一人（格式自定）</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lang w:eastAsia="zh-CN"/>
        </w:rPr>
        <w:t>（</w:t>
      </w:r>
      <w:r>
        <w:rPr>
          <w:rFonts w:asciiTheme="majorEastAsia" w:eastAsiaTheme="majorEastAsia" w:hAnsiTheme="majorEastAsia" w:cstheme="majorEastAsia" w:hint="eastAsia"/>
          <w:color w:val="auto"/>
          <w:szCs w:val="21"/>
          <w:highlight w:val="none"/>
          <w:lang w:val="en-US" w:eastAsia="zh-CN"/>
        </w:rPr>
        <w:t>6</w:t>
      </w:r>
      <w:r>
        <w:rPr>
          <w:rFonts w:asciiTheme="majorEastAsia" w:eastAsiaTheme="majorEastAsia" w:hAnsiTheme="majorEastAsia" w:cstheme="majorEastAsia" w:hint="eastAsia"/>
          <w:color w:val="auto"/>
          <w:szCs w:val="21"/>
          <w:highlight w:val="none"/>
          <w:lang w:eastAsia="zh-CN"/>
        </w:rPr>
        <w:t>）</w:t>
      </w:r>
      <w:r>
        <w:rPr>
          <w:rFonts w:asciiTheme="majorEastAsia" w:eastAsiaTheme="majorEastAsia" w:hAnsiTheme="majorEastAsia" w:cstheme="majorEastAsia" w:hint="eastAsia"/>
          <w:color w:val="auto"/>
          <w:szCs w:val="21"/>
          <w:highlight w:val="none"/>
        </w:rPr>
        <w:t>拟安排的项目主要团队成员（主要技术人员）情况（项目负责人除外）（格式自定）</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（7）环保执行情况（格式自定）</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w:t>
      </w:r>
      <w:r>
        <w:rPr>
          <w:rFonts w:asciiTheme="majorEastAsia" w:eastAsiaTheme="majorEastAsia" w:hAnsiTheme="majorEastAsia" w:cstheme="majorEastAsia" w:hint="eastAsia"/>
          <w:color w:val="auto"/>
          <w:szCs w:val="21"/>
          <w:highlight w:val="none"/>
          <w:lang w:val="en-US" w:eastAsia="zh-CN"/>
        </w:rPr>
        <w:t>8</w:t>
      </w:r>
      <w:r>
        <w:rPr>
          <w:rFonts w:asciiTheme="majorEastAsia" w:eastAsiaTheme="majorEastAsia" w:hAnsiTheme="majorEastAsia" w:cstheme="majorEastAsia" w:hint="eastAsia"/>
          <w:color w:val="auto"/>
          <w:szCs w:val="21"/>
          <w:highlight w:val="none"/>
        </w:rPr>
        <w:t>）服务网点（格式自定）</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lang w:val="en-US" w:eastAsia="zh-CN"/>
        </w:rPr>
        <w:t>（9</w:t>
      </w:r>
      <w:r>
        <w:rPr>
          <w:rFonts w:asciiTheme="majorEastAsia" w:eastAsiaTheme="majorEastAsia" w:hAnsiTheme="majorEastAsia" w:cstheme="majorEastAsia" w:hint="eastAsia"/>
          <w:color w:val="auto"/>
          <w:szCs w:val="21"/>
          <w:highlight w:val="none"/>
        </w:rPr>
        <w:t>）其它招标文件要求的内容及投标人认为需要补充的内容（格式自定）</w:t>
      </w:r>
    </w:p>
    <w:p>
      <w:pPr>
        <w:spacing w:line="360" w:lineRule="exact"/>
        <w:ind w:firstLine="424" w:firstLineChars="202"/>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备注：</w:t>
      </w:r>
    </w:p>
    <w:p>
      <w:pPr>
        <w:spacing w:line="360" w:lineRule="exact"/>
        <w:ind w:firstLine="424" w:firstLineChars="202"/>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1、本项目为网上电子投标项目，投标文件不需法人或授权委托人另行签字，无需加盖单位公章，招标文件专用条款另有规定的除外。</w:t>
      </w:r>
    </w:p>
    <w:p>
      <w:pPr>
        <w:spacing w:line="360" w:lineRule="exact"/>
        <w:ind w:firstLine="424" w:firstLineChars="202"/>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2、关于“开标一览表”的评标说明：“开标一览表”中除“投标总价”外，其他信息不作评审依据。</w:t>
      </w:r>
    </w:p>
    <w:p>
      <w:pPr>
        <w:spacing w:line="360" w:lineRule="exact"/>
        <w:ind w:firstLine="424" w:firstLineChars="202"/>
        <w:rPr>
          <w:rFonts w:asciiTheme="majorEastAsia" w:eastAsiaTheme="majorEastAsia" w:hAnsiTheme="majorEastAsia" w:cstheme="majorEastAsia"/>
          <w:b/>
          <w:color w:val="auto"/>
          <w:sz w:val="30"/>
          <w:szCs w:val="30"/>
          <w:highlight w:val="none"/>
        </w:rPr>
      </w:pPr>
      <w:r>
        <w:rPr>
          <w:rFonts w:asciiTheme="majorEastAsia" w:eastAsiaTheme="majorEastAsia" w:hAnsiTheme="majorEastAsia" w:cstheme="majorEastAsia" w:hint="eastAsia"/>
          <w:color w:val="auto"/>
          <w:szCs w:val="21"/>
          <w:highlight w:val="none"/>
        </w:rPr>
        <w:t>3、关于投标书编制软件中“开标一览表”的填写说明：“开标一览表”中“完工期”一栏的填写内容不作任何要求，由投标人自行填写。</w:t>
      </w:r>
      <w:r>
        <w:rPr>
          <w:rFonts w:asciiTheme="majorEastAsia" w:eastAsiaTheme="majorEastAsia" w:hAnsiTheme="majorEastAsia" w:cstheme="majorEastAsia" w:hint="eastAsia"/>
          <w:b/>
          <w:color w:val="auto"/>
          <w:sz w:val="30"/>
          <w:szCs w:val="30"/>
          <w:highlight w:val="none"/>
        </w:rPr>
        <w:br w:type="page"/>
      </w:r>
    </w:p>
    <w:p>
      <w:pPr>
        <w:spacing w:line="0" w:lineRule="atLeast"/>
        <w:outlineLvl w:val="1"/>
        <w:rPr>
          <w:rFonts w:ascii="微软雅黑" w:eastAsia="微软雅黑" w:hAnsi="微软雅黑" w:cs="微软雅黑"/>
          <w:b/>
          <w:color w:val="auto"/>
          <w:sz w:val="28"/>
          <w:szCs w:val="28"/>
          <w:highlight w:val="none"/>
        </w:rPr>
      </w:pPr>
      <w:r>
        <w:rPr>
          <w:rFonts w:ascii="微软雅黑" w:eastAsia="微软雅黑" w:hAnsi="微软雅黑" w:cs="微软雅黑" w:hint="eastAsia"/>
          <w:b/>
          <w:color w:val="auto"/>
          <w:sz w:val="28"/>
          <w:szCs w:val="28"/>
          <w:highlight w:val="none"/>
        </w:rPr>
        <w:t>投标文件正文（信息公开部分）：</w:t>
      </w:r>
    </w:p>
    <w:p>
      <w:pPr>
        <w:pStyle w:val="Heading3"/>
        <w:keepNext w:val="0"/>
        <w:keepLines w:val="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一、投标函</w:t>
      </w:r>
    </w:p>
    <w:p>
      <w:pPr>
        <w:spacing w:line="42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致：深圳交易咨询集团有限公司</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1.根据已收到贵方的项目编号为</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的</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项目的招标文件，遵照《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并修补其任何缺陷。</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3.如果我方中标，我方将按照规定提交上述总价</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％（或</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万元）作为履约担保（可提供保函等非现金形式）。</w:t>
      </w:r>
    </w:p>
    <w:p>
      <w:pPr>
        <w:spacing w:line="42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我方同意所递交的投标文件在“对通用条款的补充内容”中的投标有效期内有效，在此期间内我方的投标有可能中标，我方将受此约束。如果在投标有效期内撤销其投标，将被财政部门根据实际情况记入供应商诚信档案。</w:t>
      </w:r>
    </w:p>
    <w:p>
      <w:pPr>
        <w:spacing w:line="42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5.除非另外达成协议并生效，贵方的中标通知书和本投标文件将构成约束我们双方的合同。</w:t>
      </w:r>
    </w:p>
    <w:p>
      <w:pPr>
        <w:spacing w:line="42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6.我方理解贵方将不受必须接受你们所收到的最低标价或其它任何投标文件的约束。</w:t>
      </w:r>
    </w:p>
    <w:p>
      <w:pPr>
        <w:spacing w:line="420" w:lineRule="exact"/>
        <w:ind w:firstLine="412" w:firstLineChars="196"/>
        <w:rPr>
          <w:rFonts w:asciiTheme="majorEastAsia" w:eastAsiaTheme="majorEastAsia" w:hAnsiTheme="majorEastAsia" w:cstheme="majorEastAsia"/>
          <w:color w:val="auto"/>
          <w:szCs w:val="21"/>
          <w:highlight w:val="none"/>
        </w:rPr>
      </w:pPr>
    </w:p>
    <w:p>
      <w:pPr>
        <w:spacing w:line="420" w:lineRule="exact"/>
        <w:ind w:firstLine="4935" w:firstLineChars="235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szCs w:val="21"/>
          <w:highlight w:val="none"/>
        </w:rPr>
        <w:t>投标人：</w:t>
      </w:r>
      <w:r>
        <w:rPr>
          <w:rFonts w:asciiTheme="majorEastAsia" w:eastAsiaTheme="majorEastAsia" w:hAnsiTheme="majorEastAsia" w:cstheme="majorEastAsia" w:hint="eastAsia"/>
          <w:color w:val="auto"/>
          <w:szCs w:val="21"/>
          <w:highlight w:val="none"/>
          <w:u w:val="single"/>
        </w:rPr>
        <w:t xml:space="preserve">              </w:t>
      </w:r>
    </w:p>
    <w:p>
      <w:pPr>
        <w:spacing w:line="420" w:lineRule="exact"/>
        <w:jc w:val="left"/>
        <w:rPr>
          <w:rFonts w:asciiTheme="majorEastAsia" w:eastAsiaTheme="majorEastAsia" w:hAnsiTheme="majorEastAsia" w:cstheme="majorEastAsia"/>
          <w:b/>
          <w:bCs/>
          <w:color w:val="auto"/>
          <w:sz w:val="28"/>
          <w:szCs w:val="28"/>
          <w:highlight w:val="none"/>
        </w:rPr>
      </w:pPr>
      <w:r>
        <w:rPr>
          <w:rFonts w:asciiTheme="majorEastAsia" w:eastAsiaTheme="majorEastAsia" w:hAnsiTheme="majorEastAsia" w:cstheme="majorEastAsia" w:hint="eastAsia"/>
          <w:color w:val="auto"/>
          <w:szCs w:val="21"/>
          <w:highlight w:val="none"/>
        </w:rPr>
        <w:t xml:space="preserve">                                               日期：</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年</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月</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日</w:t>
      </w:r>
    </w:p>
    <w:p>
      <w:pPr>
        <w:spacing w:line="420" w:lineRule="exact"/>
        <w:ind w:firstLine="412" w:firstLineChars="196"/>
        <w:rPr>
          <w:rFonts w:asciiTheme="majorEastAsia" w:eastAsiaTheme="majorEastAsia" w:hAnsiTheme="majorEastAsia" w:cstheme="majorEastAsia"/>
          <w:color w:val="auto"/>
          <w:szCs w:val="21"/>
          <w:highlight w:val="none"/>
        </w:rPr>
      </w:pPr>
    </w:p>
    <w:p>
      <w:pPr>
        <w:spacing w:line="420" w:lineRule="exact"/>
        <w:jc w:val="left"/>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备注：</w:t>
      </w:r>
    </w:p>
    <w:p>
      <w:pPr>
        <w:spacing w:line="42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1、如联合体投标，投标人一栏仅需填写牵头人的名称。</w:t>
      </w:r>
    </w:p>
    <w:p>
      <w:pPr>
        <w:spacing w:line="42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为缓解中小企业融资难题，我市推出政府采购订单融资改革举措。订单融资具体流程及试点金融机构订单融资服务承诺可参阅深圳市政府采购监管网（www.zfcg.sz.gov.cn）信息公开栏目或深圳公共资源交易网（http://www.szggzy.com/）政府采购订单融资栏目。</w:t>
      </w:r>
    </w:p>
    <w:p>
      <w:pPr>
        <w:spacing w:line="42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3、投标人信息（供联系用）：</w:t>
      </w:r>
    </w:p>
    <w:p>
      <w:pPr>
        <w:spacing w:line="440" w:lineRule="exact"/>
        <w:jc w:val="left"/>
        <w:rPr>
          <w:rFonts w:asciiTheme="majorEastAsia" w:eastAsiaTheme="majorEastAsia" w:hAnsiTheme="majorEastAsia" w:cstheme="majorEastAsia"/>
          <w:color w:val="auto"/>
          <w:szCs w:val="21"/>
          <w:highlight w:val="none"/>
          <w:u w:val="single"/>
        </w:rPr>
      </w:pPr>
      <w:r>
        <w:rPr>
          <w:rFonts w:asciiTheme="majorEastAsia" w:eastAsiaTheme="majorEastAsia" w:hAnsiTheme="majorEastAsia" w:cstheme="majorEastAsia" w:hint="eastAsia"/>
          <w:color w:val="auto"/>
          <w:szCs w:val="21"/>
          <w:highlight w:val="none"/>
        </w:rPr>
        <w:t>（1）单位地址：</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w:t>
      </w:r>
      <w:r>
        <w:rPr>
          <w:rFonts w:ascii="宋体" w:hAnsi="宋体" w:hint="eastAsia"/>
          <w:color w:val="auto"/>
          <w:szCs w:val="21"/>
          <w:highlight w:val="none"/>
        </w:rPr>
        <w:t>电子邮箱：</w:t>
      </w:r>
      <w:r>
        <w:rPr>
          <w:rFonts w:ascii="宋体" w:hAnsi="宋体" w:hint="eastAsia"/>
          <w:color w:val="auto"/>
          <w:highlight w:val="none"/>
          <w:u w:val="single"/>
        </w:rPr>
        <w:t xml:space="preserve">                </w:t>
      </w:r>
    </w:p>
    <w:p>
      <w:pPr>
        <w:spacing w:line="420" w:lineRule="exact"/>
        <w:rPr>
          <w:rFonts w:asciiTheme="majorEastAsia" w:eastAsiaTheme="majorEastAsia" w:hAnsiTheme="majorEastAsia" w:cstheme="majorEastAsia"/>
          <w:color w:val="auto"/>
          <w:szCs w:val="21"/>
          <w:highlight w:val="none"/>
          <w:u w:val="single"/>
        </w:rPr>
      </w:pPr>
      <w:r>
        <w:rPr>
          <w:rFonts w:asciiTheme="majorEastAsia" w:eastAsiaTheme="majorEastAsia" w:hAnsiTheme="majorEastAsia" w:cstheme="majorEastAsia" w:hint="eastAsia"/>
          <w:color w:val="auto"/>
          <w:szCs w:val="21"/>
          <w:highlight w:val="none"/>
        </w:rPr>
        <w:t>（2）法定代表人或其委托代理人（姓名及电话）：</w:t>
      </w:r>
      <w:r>
        <w:rPr>
          <w:rFonts w:asciiTheme="majorEastAsia" w:eastAsiaTheme="majorEastAsia" w:hAnsiTheme="majorEastAsia" w:cstheme="majorEastAsia" w:hint="eastAsia"/>
          <w:color w:val="auto"/>
          <w:szCs w:val="21"/>
          <w:highlight w:val="none"/>
          <w:u w:val="single"/>
        </w:rPr>
        <w:t xml:space="preserve">                        </w:t>
      </w:r>
    </w:p>
    <w:p>
      <w:pPr>
        <w:spacing w:line="42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（3）投标人财务负责人/企业负责人（姓名及电话）：</w:t>
      </w:r>
      <w:r>
        <w:rPr>
          <w:rFonts w:asciiTheme="majorEastAsia" w:eastAsiaTheme="majorEastAsia" w:hAnsiTheme="majorEastAsia" w:cstheme="majorEastAsia" w:hint="eastAsia"/>
          <w:color w:val="auto"/>
          <w:szCs w:val="21"/>
          <w:highlight w:val="none"/>
          <w:u w:val="single"/>
        </w:rPr>
        <w:t xml:space="preserve">                     </w:t>
      </w:r>
    </w:p>
    <w:p>
      <w:pPr>
        <w:pStyle w:val="Heading3"/>
        <w:keepNext w:val="0"/>
        <w:keepLines w:val="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二、政府采购投标及履约承诺函</w:t>
      </w:r>
    </w:p>
    <w:p>
      <w:pPr>
        <w:spacing w:line="36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致：深圳交易咨询集团有限公司</w:t>
      </w:r>
    </w:p>
    <w:p>
      <w:pPr>
        <w:spacing w:line="360" w:lineRule="exact"/>
        <w:ind w:right="-815"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我单位承诺：</w:t>
      </w:r>
    </w:p>
    <w:p>
      <w:pPr>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1.我单位参与本项目投标前三年内，在经营活动中没有重大违法记录。</w:t>
      </w:r>
    </w:p>
    <w:p>
      <w:pPr>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2.我单位参与本项目</w:t>
      </w:r>
      <w:r>
        <w:rPr>
          <w:rFonts w:asciiTheme="majorEastAsia" w:eastAsiaTheme="majorEastAsia" w:hAnsiTheme="majorEastAsia" w:cstheme="majorEastAsia" w:hint="eastAsia"/>
          <w:color w:val="auto"/>
          <w:highlight w:val="none"/>
        </w:rPr>
        <w:t>政府采购活动时不存在被有关部门禁止参与政府采购活动且在有效期内的情况。</w:t>
      </w:r>
    </w:p>
    <w:p>
      <w:pPr>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3.我单位具备《中华人民共和国政府采购法》第二十二条第一款的条件。</w:t>
      </w:r>
    </w:p>
    <w:p>
      <w:pPr>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4.我单位</w:t>
      </w:r>
      <w:r>
        <w:rPr>
          <w:rFonts w:asciiTheme="majorEastAsia" w:eastAsiaTheme="majorEastAsia" w:hAnsiTheme="majorEastAsia" w:cstheme="majorEastAsia" w:hint="eastAsia"/>
          <w:color w:val="auto"/>
          <w:highlight w:val="none"/>
        </w:rPr>
        <w:t>未被列入失信被执行人、重大税收违法失信主体、政府采购严重违法失信行为记录名单。</w:t>
      </w:r>
    </w:p>
    <w:p>
      <w:pPr>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w:t>
      </w:r>
      <w:r>
        <w:rPr>
          <w:rFonts w:ascii="宋体" w:hAnsi="宋体" w:hint="eastAsia"/>
          <w:color w:val="auto"/>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line="360" w:lineRule="exact"/>
        <w:ind w:firstLine="420" w:firstLineChars="200"/>
        <w:rPr>
          <w:rFonts w:ascii="宋体" w:hAnsi="宋体"/>
          <w:color w:val="auto"/>
          <w:szCs w:val="21"/>
          <w:highlight w:val="none"/>
        </w:rPr>
      </w:pPr>
      <w:r>
        <w:rPr>
          <w:rFonts w:ascii="宋体" w:hAnsi="宋体" w:hint="eastAsia"/>
          <w:color w:val="auto"/>
          <w:szCs w:val="21"/>
          <w:highlight w:val="none"/>
        </w:rPr>
        <w:t>6.我单位非为本项目提供整体设计、规范编制或者项目管理、监理、检测等服务的供应商。</w:t>
      </w:r>
    </w:p>
    <w:p>
      <w:pPr>
        <w:spacing w:line="360" w:lineRule="exact"/>
        <w:ind w:firstLine="420" w:firstLineChars="200"/>
        <w:rPr>
          <w:rFonts w:ascii="宋体" w:hAnsi="宋体"/>
          <w:color w:val="auto"/>
          <w:szCs w:val="21"/>
          <w:highlight w:val="none"/>
        </w:rPr>
      </w:pPr>
      <w:r>
        <w:rPr>
          <w:rFonts w:ascii="宋体" w:hAnsi="宋体" w:hint="eastAsia"/>
          <w:color w:val="auto"/>
          <w:szCs w:val="21"/>
          <w:highlight w:val="none"/>
        </w:rPr>
        <w:t>7.我单位不存在“单位负责人为同一人或者存在直接控股、管理关系的不同供应商，参加同一合同项下的政府采购活动”的情形。</w:t>
      </w:r>
    </w:p>
    <w:p>
      <w:pPr>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8.我单位如果中标，做到守信，不偷工减料，依照本项目招标文件需求内容、签署的采购合同及本公司在投标中所作的一切承诺履约。</w:t>
      </w:r>
    </w:p>
    <w:p>
      <w:pPr>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9.我单位对本项目的报价负责，中标后将严格按照本项目招标文件需求、签署的采购合同及我单位在投标中所作的全部承诺履行。我单位清楚，若我单位以“报价太低而无法履约”为理由放弃本项目中标资格时，将被财政部门根据实际情况记入供应商诚信档案，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10.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60" w:lineRule="exact"/>
        <w:ind w:firstLine="420" w:firstLineChars="200"/>
        <w:rPr>
          <w:rFonts w:ascii="宋体" w:hAnsi="宋体"/>
          <w:color w:val="auto"/>
          <w:highlight w:val="none"/>
        </w:rPr>
      </w:pPr>
      <w:r>
        <w:rPr>
          <w:rFonts w:asciiTheme="majorEastAsia" w:eastAsiaTheme="majorEastAsia" w:hAnsiTheme="majorEastAsia" w:cstheme="majorEastAsia" w:hint="eastAsia"/>
          <w:color w:val="auto"/>
          <w:szCs w:val="21"/>
          <w:highlight w:val="none"/>
        </w:rPr>
        <w:t>11.</w:t>
      </w:r>
      <w:r>
        <w:rPr>
          <w:rFonts w:ascii="宋体" w:hAnsi="宋体" w:hint="eastAsia"/>
          <w:color w:val="auto"/>
          <w:highlight w:val="none"/>
        </w:rPr>
        <w:t>我单位保证，其所提供的服务在提供给采购人前具有完全的所有权，不会产生因第三方提出的包括但不限于侵犯其专利权、商标权、工业设计权等知识产权和侵犯其所有权、抵押权等物权及其他权利而引发的纠纷；如有纠纷，我单位承担全部责任。</w:t>
      </w:r>
    </w:p>
    <w:p>
      <w:pPr>
        <w:spacing w:line="360" w:lineRule="exact"/>
        <w:ind w:firstLine="420" w:firstLineChars="200"/>
        <w:rPr>
          <w:rFonts w:asciiTheme="majorEastAsia" w:eastAsiaTheme="majorEastAsia" w:hAnsiTheme="majorEastAsia" w:cstheme="majorEastAsia"/>
          <w:color w:val="auto"/>
          <w:szCs w:val="21"/>
          <w:highlight w:val="none"/>
        </w:rPr>
      </w:pPr>
      <w:r>
        <w:rPr>
          <w:rFonts w:ascii="宋体" w:hAnsi="宋体" w:hint="eastAsia"/>
          <w:color w:val="auto"/>
          <w:highlight w:val="none"/>
        </w:rPr>
        <w:t>12.</w:t>
      </w:r>
      <w:r>
        <w:rPr>
          <w:rFonts w:ascii="宋体" w:hAnsi="宋体" w:hint="eastAsia"/>
          <w:color w:val="auto"/>
          <w:szCs w:val="21"/>
          <w:highlight w:val="none"/>
        </w:rPr>
        <w:t>我单位承诺中标后项目不转包，未经采购人同意不进行分包</w:t>
      </w:r>
      <w:r>
        <w:rPr>
          <w:rFonts w:asciiTheme="majorEastAsia" w:eastAsiaTheme="majorEastAsia" w:hAnsiTheme="majorEastAsia" w:cstheme="majorEastAsia" w:hint="eastAsia"/>
          <w:color w:val="auto"/>
          <w:szCs w:val="21"/>
          <w:highlight w:val="none"/>
        </w:rPr>
        <w:t>。</w:t>
      </w:r>
    </w:p>
    <w:p>
      <w:pPr>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以上承诺，如有违反，愿依照国家相关法律处理，并承担由此给采购人带来的损失。</w:t>
      </w:r>
    </w:p>
    <w:p>
      <w:pPr>
        <w:spacing w:line="360" w:lineRule="exact"/>
        <w:ind w:firstLine="4725" w:firstLineChars="2250"/>
        <w:rPr>
          <w:rFonts w:asciiTheme="majorEastAsia" w:eastAsiaTheme="majorEastAsia" w:hAnsiTheme="majorEastAsia" w:cstheme="majorEastAsia"/>
          <w:color w:val="auto"/>
          <w:szCs w:val="21"/>
          <w:highlight w:val="none"/>
        </w:rPr>
      </w:pPr>
    </w:p>
    <w:p>
      <w:pPr>
        <w:spacing w:line="360" w:lineRule="exact"/>
        <w:ind w:firstLine="4935" w:firstLineChars="235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szCs w:val="21"/>
          <w:highlight w:val="none"/>
        </w:rPr>
        <w:t>投标人：</w:t>
      </w:r>
      <w:r>
        <w:rPr>
          <w:rFonts w:asciiTheme="majorEastAsia" w:eastAsiaTheme="majorEastAsia" w:hAnsiTheme="majorEastAsia" w:cstheme="majorEastAsia" w:hint="eastAsia"/>
          <w:color w:val="auto"/>
          <w:szCs w:val="21"/>
          <w:highlight w:val="none"/>
          <w:u w:val="single"/>
        </w:rPr>
        <w:t xml:space="preserve">                  </w:t>
      </w:r>
    </w:p>
    <w:p>
      <w:pPr>
        <w:spacing w:line="360" w:lineRule="exact"/>
        <w:jc w:val="left"/>
        <w:rPr>
          <w:rFonts w:asciiTheme="majorEastAsia" w:eastAsiaTheme="majorEastAsia" w:hAnsiTheme="majorEastAsia" w:cstheme="majorEastAsia"/>
          <w:b/>
          <w:bCs/>
          <w:color w:val="auto"/>
          <w:sz w:val="28"/>
          <w:szCs w:val="28"/>
          <w:highlight w:val="none"/>
        </w:rPr>
      </w:pPr>
      <w:r>
        <w:rPr>
          <w:rFonts w:asciiTheme="majorEastAsia" w:eastAsiaTheme="majorEastAsia" w:hAnsiTheme="majorEastAsia" w:cstheme="majorEastAsia" w:hint="eastAsia"/>
          <w:color w:val="auto"/>
          <w:szCs w:val="21"/>
          <w:highlight w:val="none"/>
        </w:rPr>
        <w:t xml:space="preserve">                                               日期：</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年</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月</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日</w:t>
      </w:r>
    </w:p>
    <w:p>
      <w:pP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br w:type="page"/>
      </w:r>
    </w:p>
    <w:p>
      <w:pPr>
        <w:pStyle w:val="Heading3"/>
        <w:keepNext w:val="0"/>
        <w:keepLines w:val="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三、资格证明材料</w:t>
      </w:r>
    </w:p>
    <w:p>
      <w:pPr>
        <w:ind w:firstLine="420" w:firstLineChars="200"/>
        <w:rPr>
          <w:rFonts w:asciiTheme="majorEastAsia" w:eastAsiaTheme="majorEastAsia" w:hAnsiTheme="majorEastAsia" w:cstheme="majorEastAsia"/>
          <w:b/>
          <w:bCs/>
          <w:color w:val="auto"/>
          <w:highlight w:val="none"/>
        </w:rPr>
      </w:pPr>
      <w:r>
        <w:rPr>
          <w:rFonts w:asciiTheme="majorEastAsia" w:eastAsiaTheme="majorEastAsia" w:hAnsiTheme="majorEastAsia" w:cstheme="majorEastAsia" w:hint="eastAsia"/>
          <w:b/>
          <w:bCs/>
          <w:color w:val="auto"/>
          <w:highlight w:val="none"/>
        </w:rPr>
        <w:t>（一）资质证明文件</w:t>
      </w:r>
    </w:p>
    <w:p>
      <w:pPr>
        <w:ind w:firstLine="420" w:firstLineChars="200"/>
        <w:rPr>
          <w:rFonts w:asciiTheme="minorEastAsia" w:eastAsiaTheme="minorEastAsia" w:hAnsiTheme="minorEastAsia"/>
          <w:b/>
          <w:bCs/>
          <w:color w:val="auto"/>
          <w:szCs w:val="21"/>
          <w:highlight w:val="none"/>
        </w:rPr>
      </w:pPr>
      <w:r>
        <w:rPr>
          <w:rFonts w:asciiTheme="minorEastAsia" w:eastAsiaTheme="minorEastAsia" w:hAnsiTheme="minorEastAsia" w:hint="eastAsia"/>
          <w:b/>
          <w:bCs/>
          <w:color w:val="auto"/>
          <w:szCs w:val="21"/>
          <w:highlight w:val="none"/>
        </w:rPr>
        <w:t>（特别提示：投标人须按本招标文件第一章招标公告 “投标人的资格要求”提供相关的资质证明，未提供或提供不完整、不符合要求的，投标文件将按无效投标处理。）</w:t>
      </w:r>
    </w:p>
    <w:p>
      <w:pPr>
        <w:ind w:firstLine="420" w:firstLineChars="200"/>
        <w:rPr>
          <w:rFonts w:asciiTheme="majorEastAsia" w:eastAsiaTheme="majorEastAsia" w:hAnsiTheme="majorEastAsia" w:cstheme="majorEastAsia"/>
          <w:b/>
          <w:bCs/>
          <w:color w:val="auto"/>
          <w:highlight w:val="none"/>
        </w:rPr>
      </w:pPr>
    </w:p>
    <w:p>
      <w:pPr>
        <w:ind w:firstLine="420" w:firstLineChars="200"/>
        <w:rPr>
          <w:rFonts w:asciiTheme="minorEastAsia" w:eastAsiaTheme="minorEastAsia" w:hAnsiTheme="minorEastAsia"/>
          <w:b/>
          <w:color w:val="auto"/>
          <w:szCs w:val="21"/>
          <w:highlight w:val="none"/>
        </w:rPr>
      </w:pPr>
      <w:r>
        <w:rPr>
          <w:rFonts w:asciiTheme="majorEastAsia" w:eastAsiaTheme="majorEastAsia" w:hAnsiTheme="majorEastAsia" w:cstheme="majorEastAsia" w:hint="eastAsia"/>
          <w:b/>
          <w:bCs/>
          <w:color w:val="auto"/>
          <w:highlight w:val="none"/>
        </w:rPr>
        <w:t>（二</w:t>
      </w:r>
      <w:r>
        <w:rPr>
          <w:rFonts w:asciiTheme="minorEastAsia" w:eastAsiaTheme="minorEastAsia" w:hAnsiTheme="minorEastAsia" w:hint="eastAsia"/>
          <w:b/>
          <w:color w:val="auto"/>
          <w:szCs w:val="21"/>
          <w:highlight w:val="none"/>
        </w:rPr>
        <w:t>）投标人认为需提供的其他证明文件</w:t>
      </w:r>
    </w:p>
    <w:p>
      <w:pPr>
        <w:ind w:left="628" w:hanging="208" w:leftChars="200" w:hangingChars="99"/>
        <w:rPr>
          <w:rFonts w:asciiTheme="majorEastAsia" w:eastAsiaTheme="majorEastAsia" w:hAnsiTheme="majorEastAsia" w:cstheme="majorEastAsia"/>
          <w:b/>
          <w:bCs/>
          <w:color w:val="auto"/>
          <w:highlight w:val="none"/>
        </w:rPr>
      </w:pPr>
    </w:p>
    <w:p>
      <w:pPr>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rPr>
        <w:t>（</w:t>
      </w:r>
      <w:r>
        <w:rPr>
          <w:rFonts w:asciiTheme="minorEastAsia" w:eastAsiaTheme="minorEastAsia" w:hAnsiTheme="minorEastAsia" w:hint="eastAsia"/>
          <w:b/>
          <w:color w:val="auto"/>
          <w:szCs w:val="21"/>
          <w:highlight w:val="none"/>
          <w:lang w:eastAsia="zh-CN"/>
        </w:rPr>
        <w:t>三</w:t>
      </w:r>
      <w:r>
        <w:rPr>
          <w:rFonts w:asciiTheme="minorEastAsia" w:eastAsiaTheme="minorEastAsia" w:hAnsiTheme="minorEastAsia" w:hint="eastAsia"/>
          <w:b/>
          <w:color w:val="auto"/>
          <w:szCs w:val="21"/>
          <w:highlight w:val="none"/>
        </w:rPr>
        <w:t>）投标人股东关系构成表</w:t>
      </w:r>
    </w:p>
    <w:tbl>
      <w:tblPr>
        <w:tblStyle w:val="TableNormal"/>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239"/>
        <w:gridCol w:w="6290"/>
      </w:tblGrid>
      <w:tr>
        <w:tblPrEx>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680"/>
          <w:jc w:val="center"/>
        </w:trPr>
        <w:tc>
          <w:tcPr>
            <w:tcW w:w="2239" w:type="dxa"/>
            <w:tcBorders>
              <w:top w:val="single" w:sz="4" w:space="0" w:color="000000"/>
              <w:left w:val="single" w:sz="4" w:space="0" w:color="000000"/>
              <w:bottom w:val="single" w:sz="4" w:space="0" w:color="000000"/>
              <w:right w:val="single" w:sz="4" w:space="0" w:color="000000"/>
            </w:tcBorders>
            <w:shd w:val="clear" w:color="auto" w:fill="D9E2F3"/>
            <w:vAlign w:val="center"/>
          </w:tcPr>
          <w:p>
            <w:pPr>
              <w:autoSpaceDE w:val="0"/>
              <w:autoSpaceDN w:val="0"/>
              <w:adjustRightInd w:val="0"/>
              <w:snapToGrid w:val="0"/>
              <w:rPr>
                <w:rFonts w:ascii="宋体" w:hAnsi="宋体"/>
                <w:color w:val="auto"/>
                <w:szCs w:val="21"/>
                <w:highlight w:val="none"/>
              </w:rPr>
            </w:pPr>
            <w:r>
              <w:rPr>
                <w:rFonts w:ascii="宋体" w:hAnsi="宋体" w:hint="eastAsia"/>
                <w:color w:val="auto"/>
                <w:szCs w:val="21"/>
                <w:highlight w:val="none"/>
              </w:rPr>
              <w:t>投标人名称</w:t>
            </w:r>
          </w:p>
        </w:tc>
        <w:tc>
          <w:tcPr>
            <w:tcW w:w="6290" w:type="dxa"/>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jc w:val="left"/>
              <w:rPr>
                <w:rFonts w:ascii="宋体" w:hAnsi="宋体" w:cs="Segoe UI Symbol"/>
                <w:color w:val="auto"/>
                <w:kern w:val="0"/>
                <w:szCs w:val="21"/>
                <w:highlight w:val="none"/>
              </w:rPr>
            </w:pPr>
          </w:p>
        </w:tc>
      </w:tr>
      <w:tr>
        <w:tblPrEx>
          <w:tblW w:w="8529" w:type="dxa"/>
          <w:jc w:val="center"/>
          <w:tblLayout w:type="fixed"/>
          <w:tblCellMar>
            <w:top w:w="0" w:type="dxa"/>
            <w:left w:w="108" w:type="dxa"/>
            <w:bottom w:w="0" w:type="dxa"/>
            <w:right w:w="108" w:type="dxa"/>
          </w:tblCellMar>
        </w:tblPrEx>
        <w:trPr>
          <w:trHeight w:val="680"/>
          <w:jc w:val="center"/>
        </w:trPr>
        <w:tc>
          <w:tcPr>
            <w:tcW w:w="2239" w:type="dxa"/>
            <w:tcBorders>
              <w:top w:val="single" w:sz="4" w:space="0" w:color="000000"/>
              <w:left w:val="single" w:sz="4" w:space="0" w:color="000000"/>
              <w:bottom w:val="single" w:sz="4" w:space="0" w:color="000000"/>
              <w:right w:val="single" w:sz="4" w:space="0" w:color="000000"/>
            </w:tcBorders>
            <w:shd w:val="clear" w:color="auto" w:fill="D9E2F3"/>
            <w:vAlign w:val="center"/>
          </w:tcPr>
          <w:p>
            <w:pPr>
              <w:autoSpaceDE w:val="0"/>
              <w:autoSpaceDN w:val="0"/>
              <w:adjustRightInd w:val="0"/>
              <w:snapToGrid w:val="0"/>
              <w:jc w:val="left"/>
              <w:rPr>
                <w:rFonts w:ascii="宋体" w:hAnsi="宋体"/>
                <w:color w:val="auto"/>
                <w:szCs w:val="21"/>
                <w:highlight w:val="none"/>
              </w:rPr>
            </w:pPr>
            <w:r>
              <w:rPr>
                <w:rFonts w:ascii="宋体" w:hAnsi="宋体" w:hint="eastAsia"/>
                <w:color w:val="auto"/>
                <w:szCs w:val="21"/>
                <w:highlight w:val="none"/>
              </w:rPr>
              <w:t>本单位负责人（法定代表人）姓名</w:t>
            </w:r>
          </w:p>
        </w:tc>
        <w:tc>
          <w:tcPr>
            <w:tcW w:w="6290" w:type="dxa"/>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jc w:val="left"/>
              <w:rPr>
                <w:rFonts w:ascii="宋体" w:hAnsi="宋体" w:cs="Segoe UI Symbol"/>
                <w:color w:val="auto"/>
                <w:kern w:val="0"/>
                <w:szCs w:val="21"/>
                <w:highlight w:val="none"/>
              </w:rPr>
            </w:pPr>
          </w:p>
        </w:tc>
      </w:tr>
      <w:tr>
        <w:tblPrEx>
          <w:tblW w:w="8529" w:type="dxa"/>
          <w:jc w:val="center"/>
          <w:tblLayout w:type="fixed"/>
          <w:tblCellMar>
            <w:top w:w="0" w:type="dxa"/>
            <w:left w:w="108" w:type="dxa"/>
            <w:bottom w:w="0" w:type="dxa"/>
            <w:right w:w="108" w:type="dxa"/>
          </w:tblCellMar>
        </w:tblPrEx>
        <w:trPr>
          <w:trHeight w:val="1417"/>
          <w:jc w:val="center"/>
        </w:trPr>
        <w:tc>
          <w:tcPr>
            <w:tcW w:w="2239" w:type="dxa"/>
            <w:tcBorders>
              <w:top w:val="single" w:sz="4" w:space="0" w:color="000000"/>
              <w:left w:val="single" w:sz="4" w:space="0" w:color="000000"/>
              <w:bottom w:val="single" w:sz="4" w:space="0" w:color="000000"/>
              <w:right w:val="single" w:sz="4" w:space="0" w:color="000000"/>
            </w:tcBorders>
            <w:shd w:val="clear" w:color="auto" w:fill="D9E2F3"/>
            <w:vAlign w:val="center"/>
          </w:tcPr>
          <w:p>
            <w:pPr>
              <w:autoSpaceDE w:val="0"/>
              <w:autoSpaceDN w:val="0"/>
              <w:adjustRightInd w:val="0"/>
              <w:snapToGrid w:val="0"/>
              <w:jc w:val="left"/>
              <w:rPr>
                <w:rFonts w:ascii="宋体" w:hAnsi="宋体"/>
                <w:color w:val="auto"/>
                <w:szCs w:val="21"/>
                <w:highlight w:val="none"/>
              </w:rPr>
            </w:pPr>
            <w:r>
              <w:rPr>
                <w:rFonts w:ascii="宋体" w:hAnsi="宋体" w:hint="eastAsia"/>
                <w:color w:val="auto"/>
                <w:szCs w:val="21"/>
                <w:highlight w:val="none"/>
              </w:rPr>
              <w:t>是否存在本单位的控股股东</w:t>
            </w:r>
          </w:p>
        </w:tc>
        <w:tc>
          <w:tcPr>
            <w:tcW w:w="6290" w:type="dxa"/>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jc w:val="left"/>
              <w:rPr>
                <w:rFonts w:ascii="宋体" w:hAnsi="宋体" w:cs="Segoe UI Symbol"/>
                <w:color w:val="auto"/>
                <w:kern w:val="0"/>
                <w:szCs w:val="21"/>
                <w:highlight w:val="none"/>
                <w:u w:val="single"/>
              </w:rPr>
            </w:pPr>
            <w:r>
              <w:rPr>
                <w:rFonts w:ascii="宋体" w:hAnsi="宋体" w:cs="Segoe UI Symbol" w:hint="eastAsia"/>
                <w:color w:val="auto"/>
                <w:kern w:val="0"/>
                <w:szCs w:val="21"/>
                <w:highlight w:val="none"/>
              </w:rPr>
              <w:t>□是，其控股股东为：</w:t>
            </w:r>
            <w:r>
              <w:rPr>
                <w:rFonts w:ascii="宋体" w:hAnsi="宋体" w:cs="Segoe UI Symbol" w:hint="eastAsia"/>
                <w:color w:val="auto"/>
                <w:kern w:val="0"/>
                <w:szCs w:val="21"/>
                <w:highlight w:val="none"/>
                <w:u w:val="single"/>
              </w:rPr>
              <w:t xml:space="preserve">              </w:t>
            </w:r>
            <w:r>
              <w:rPr>
                <w:rFonts w:ascii="宋体" w:hAnsi="宋体" w:cs="Segoe UI Symbol" w:hint="eastAsia"/>
                <w:color w:val="auto"/>
                <w:kern w:val="0"/>
                <w:szCs w:val="21"/>
                <w:highlight w:val="none"/>
              </w:rPr>
              <w:t>，股份占比：</w:t>
            </w:r>
            <w:r>
              <w:rPr>
                <w:rFonts w:ascii="宋体" w:hAnsi="宋体" w:cs="Segoe UI Symbol" w:hint="eastAsia"/>
                <w:color w:val="auto"/>
                <w:kern w:val="0"/>
                <w:szCs w:val="21"/>
                <w:highlight w:val="none"/>
                <w:u w:val="single"/>
              </w:rPr>
              <w:t xml:space="preserve">           </w:t>
            </w:r>
            <w:r>
              <w:rPr>
                <w:rFonts w:ascii="宋体" w:hAnsi="宋体" w:cs="Segoe UI Symbol" w:hint="eastAsia"/>
                <w:color w:val="auto"/>
                <w:kern w:val="0"/>
                <w:szCs w:val="21"/>
                <w:highlight w:val="none"/>
              </w:rPr>
              <w:t>；</w:t>
            </w:r>
          </w:p>
          <w:p>
            <w:pPr>
              <w:autoSpaceDE w:val="0"/>
              <w:autoSpaceDN w:val="0"/>
              <w:adjustRightInd w:val="0"/>
              <w:snapToGrid w:val="0"/>
              <w:jc w:val="left"/>
              <w:rPr>
                <w:rFonts w:ascii="宋体" w:hAnsi="宋体" w:cs="Segoe UI Symbol"/>
                <w:color w:val="auto"/>
                <w:kern w:val="0"/>
                <w:szCs w:val="21"/>
                <w:highlight w:val="none"/>
              </w:rPr>
            </w:pPr>
            <w:r>
              <w:rPr>
                <w:rFonts w:ascii="宋体" w:hAnsi="宋体" w:cs="Segoe UI Symbol" w:hint="eastAsia"/>
                <w:color w:val="auto"/>
                <w:kern w:val="0"/>
                <w:szCs w:val="21"/>
                <w:highlight w:val="none"/>
              </w:rPr>
              <w:t>其他主要股东及其股份占比：</w:t>
            </w:r>
            <w:r>
              <w:rPr>
                <w:rFonts w:ascii="宋体" w:hAnsi="宋体" w:cs="Segoe UI Symbol" w:hint="eastAsia"/>
                <w:color w:val="auto"/>
                <w:kern w:val="0"/>
                <w:szCs w:val="21"/>
                <w:highlight w:val="none"/>
                <w:u w:val="single"/>
              </w:rPr>
              <w:t xml:space="preserve">                               </w:t>
            </w:r>
            <w:r>
              <w:rPr>
                <w:rFonts w:ascii="宋体" w:hAnsi="宋体" w:cs="Segoe UI Symbol" w:hint="eastAsia"/>
                <w:color w:val="auto"/>
                <w:kern w:val="0"/>
                <w:szCs w:val="21"/>
                <w:highlight w:val="none"/>
              </w:rPr>
              <w:t>。</w:t>
            </w:r>
          </w:p>
          <w:p>
            <w:pPr>
              <w:autoSpaceDE w:val="0"/>
              <w:autoSpaceDN w:val="0"/>
              <w:adjustRightInd w:val="0"/>
              <w:snapToGrid w:val="0"/>
              <w:jc w:val="left"/>
              <w:rPr>
                <w:rFonts w:ascii="宋体" w:hAnsi="宋体"/>
                <w:b/>
                <w:bCs/>
                <w:color w:val="auto"/>
                <w:szCs w:val="21"/>
                <w:highlight w:val="none"/>
              </w:rPr>
            </w:pPr>
            <w:r>
              <w:rPr>
                <w:rFonts w:ascii="宋体" w:hAnsi="宋体" w:cs="Segoe UI Symbol" w:hint="eastAsia"/>
                <w:color w:val="auto"/>
                <w:kern w:val="0"/>
                <w:szCs w:val="21"/>
                <w:highlight w:val="none"/>
              </w:rPr>
              <w:t>□否</w:t>
            </w:r>
          </w:p>
        </w:tc>
      </w:tr>
      <w:tr>
        <w:tblPrEx>
          <w:tblW w:w="8529" w:type="dxa"/>
          <w:jc w:val="center"/>
          <w:tblLayout w:type="fixed"/>
          <w:tblCellMar>
            <w:top w:w="0" w:type="dxa"/>
            <w:left w:w="108" w:type="dxa"/>
            <w:bottom w:w="0" w:type="dxa"/>
            <w:right w:w="108" w:type="dxa"/>
          </w:tblCellMar>
        </w:tblPrEx>
        <w:trPr>
          <w:trHeight w:val="1417"/>
          <w:jc w:val="center"/>
        </w:trPr>
        <w:tc>
          <w:tcPr>
            <w:tcW w:w="2239" w:type="dxa"/>
            <w:tcBorders>
              <w:top w:val="single" w:sz="4" w:space="0" w:color="000000"/>
              <w:left w:val="single" w:sz="4" w:space="0" w:color="000000"/>
              <w:bottom w:val="single" w:sz="4" w:space="0" w:color="000000"/>
              <w:right w:val="single" w:sz="4" w:space="0" w:color="000000"/>
            </w:tcBorders>
            <w:shd w:val="clear" w:color="auto" w:fill="D9E2F3"/>
            <w:vAlign w:val="center"/>
          </w:tcPr>
          <w:p>
            <w:pPr>
              <w:autoSpaceDE w:val="0"/>
              <w:autoSpaceDN w:val="0"/>
              <w:adjustRightInd w:val="0"/>
              <w:snapToGrid w:val="0"/>
              <w:jc w:val="left"/>
              <w:rPr>
                <w:rFonts w:ascii="宋体" w:hAnsi="宋体"/>
                <w:color w:val="auto"/>
                <w:szCs w:val="21"/>
                <w:highlight w:val="none"/>
              </w:rPr>
            </w:pPr>
            <w:r>
              <w:rPr>
                <w:rFonts w:ascii="宋体" w:hAnsi="宋体" w:hint="eastAsia"/>
                <w:color w:val="auto"/>
                <w:szCs w:val="21"/>
                <w:highlight w:val="none"/>
              </w:rPr>
              <w:t>是否存在“与本单位存在管理关系的单位”</w:t>
            </w:r>
          </w:p>
        </w:tc>
        <w:tc>
          <w:tcPr>
            <w:tcW w:w="6290" w:type="dxa"/>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jc w:val="left"/>
              <w:rPr>
                <w:rFonts w:ascii="宋体" w:hAnsi="宋体" w:cs="Segoe UI Symbol"/>
                <w:color w:val="auto"/>
                <w:kern w:val="0"/>
                <w:szCs w:val="21"/>
                <w:highlight w:val="none"/>
                <w:u w:val="single"/>
              </w:rPr>
            </w:pPr>
            <w:r>
              <w:rPr>
                <w:rFonts w:ascii="宋体" w:hAnsi="宋体" w:cs="Segoe UI Symbol" w:hint="eastAsia"/>
                <w:color w:val="auto"/>
                <w:kern w:val="0"/>
                <w:szCs w:val="21"/>
                <w:highlight w:val="none"/>
              </w:rPr>
              <w:t>□是，该单位为：</w:t>
            </w:r>
            <w:r>
              <w:rPr>
                <w:rFonts w:ascii="宋体" w:hAnsi="宋体" w:cs="Segoe UI Symbol" w:hint="eastAsia"/>
                <w:color w:val="auto"/>
                <w:kern w:val="0"/>
                <w:szCs w:val="21"/>
                <w:highlight w:val="none"/>
                <w:u w:val="single"/>
              </w:rPr>
              <w:t xml:space="preserve">                                          </w:t>
            </w:r>
          </w:p>
          <w:p>
            <w:pPr>
              <w:autoSpaceDE w:val="0"/>
              <w:autoSpaceDN w:val="0"/>
              <w:adjustRightInd w:val="0"/>
              <w:snapToGrid w:val="0"/>
              <w:jc w:val="left"/>
              <w:rPr>
                <w:rFonts w:ascii="宋体" w:hAnsi="宋体"/>
                <w:b/>
                <w:bCs/>
                <w:color w:val="auto"/>
                <w:szCs w:val="21"/>
                <w:highlight w:val="none"/>
              </w:rPr>
            </w:pPr>
            <w:r>
              <w:rPr>
                <w:rFonts w:ascii="宋体" w:hAnsi="宋体" w:cs="Segoe UI Symbol" w:hint="eastAsia"/>
                <w:color w:val="auto"/>
                <w:kern w:val="0"/>
                <w:szCs w:val="21"/>
                <w:highlight w:val="none"/>
              </w:rPr>
              <w:t>□否</w:t>
            </w:r>
          </w:p>
        </w:tc>
      </w:tr>
    </w:tbl>
    <w:p>
      <w:pPr>
        <w:autoSpaceDE w:val="0"/>
        <w:autoSpaceDN w:val="0"/>
        <w:adjustRightInd w:val="0"/>
        <w:snapToGrid w:val="0"/>
        <w:jc w:val="left"/>
        <w:rPr>
          <w:rFonts w:ascii="宋体" w:hAnsi="宋体"/>
          <w:b/>
          <w:bCs/>
          <w:color w:val="auto"/>
          <w:szCs w:val="21"/>
          <w:highlight w:val="none"/>
        </w:rPr>
      </w:pPr>
      <w:r>
        <w:rPr>
          <w:rFonts w:ascii="宋体" w:hAnsi="宋体" w:hint="eastAsia"/>
          <w:b/>
          <w:bCs/>
          <w:color w:val="auto"/>
          <w:szCs w:val="21"/>
          <w:highlight w:val="none"/>
        </w:rPr>
        <w:t>注：</w:t>
      </w:r>
    </w:p>
    <w:p>
      <w:pPr>
        <w:autoSpaceDE w:val="0"/>
        <w:autoSpaceDN w:val="0"/>
        <w:adjustRightInd w:val="0"/>
        <w:snapToGrid w:val="0"/>
        <w:jc w:val="left"/>
        <w:rPr>
          <w:rFonts w:ascii="宋体" w:hAnsi="宋体"/>
          <w:bCs/>
          <w:color w:val="auto"/>
          <w:szCs w:val="21"/>
          <w:highlight w:val="none"/>
        </w:rPr>
      </w:pPr>
      <w:r>
        <w:rPr>
          <w:rFonts w:ascii="宋体" w:hAnsi="宋体" w:hint="eastAsia"/>
          <w:bCs/>
          <w:color w:val="auto"/>
          <w:szCs w:val="21"/>
          <w:highlight w:val="none"/>
        </w:rPr>
        <w:t>1、</w:t>
      </w:r>
      <w:r>
        <w:rPr>
          <w:rFonts w:ascii="宋体" w:hAnsi="宋体"/>
          <w:bCs/>
          <w:color w:val="auto"/>
          <w:szCs w:val="21"/>
          <w:highlight w:val="none"/>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ascii="宋体" w:hAnsi="宋体"/>
          <w:bCs/>
          <w:color w:val="auto"/>
          <w:szCs w:val="21"/>
          <w:highlight w:val="none"/>
        </w:rPr>
      </w:pPr>
      <w:r>
        <w:rPr>
          <w:rFonts w:ascii="宋体" w:hAnsi="宋体" w:hint="eastAsia"/>
          <w:bCs/>
          <w:color w:val="auto"/>
          <w:szCs w:val="21"/>
          <w:highlight w:val="none"/>
        </w:rPr>
        <w:t>2、投标人需如实填写上述信息，如查实上述信息与实际不符，视为提供虚假证明材料骗取中标，投标人应承担相应法律后果。</w:t>
      </w:r>
    </w:p>
    <w:p>
      <w:pPr>
        <w:ind w:firstLine="420" w:firstLineChars="200"/>
        <w:rPr>
          <w:rFonts w:asciiTheme="majorEastAsia" w:eastAsiaTheme="majorEastAsia" w:hAnsiTheme="majorEastAsia" w:cstheme="majorEastAsia"/>
          <w:b/>
          <w:bCs/>
          <w:color w:val="auto"/>
          <w:highlight w:val="none"/>
        </w:rPr>
      </w:pPr>
      <w:r>
        <w:rPr>
          <w:rFonts w:asciiTheme="majorEastAsia" w:eastAsiaTheme="majorEastAsia" w:hAnsiTheme="majorEastAsia" w:cstheme="majorEastAsia" w:hint="eastAsia"/>
          <w:b/>
          <w:bCs/>
          <w:color w:val="auto"/>
          <w:highlight w:val="none"/>
        </w:rPr>
        <w:t>（</w:t>
      </w:r>
      <w:r>
        <w:rPr>
          <w:rFonts w:asciiTheme="majorEastAsia" w:eastAsiaTheme="majorEastAsia" w:hAnsiTheme="majorEastAsia" w:cstheme="majorEastAsia" w:hint="eastAsia"/>
          <w:b/>
          <w:bCs/>
          <w:color w:val="auto"/>
          <w:highlight w:val="none"/>
          <w:lang w:eastAsia="zh-CN"/>
        </w:rPr>
        <w:t>四</w:t>
      </w:r>
      <w:r>
        <w:rPr>
          <w:rFonts w:asciiTheme="majorEastAsia" w:eastAsiaTheme="majorEastAsia" w:hAnsiTheme="majorEastAsia" w:cstheme="majorEastAsia" w:hint="eastAsia"/>
          <w:b/>
          <w:bCs/>
          <w:color w:val="auto"/>
          <w:highlight w:val="none"/>
        </w:rPr>
        <w:t>）政府采购违法行为风险知悉确认书</w:t>
      </w:r>
    </w:p>
    <w:p>
      <w:pPr>
        <w:ind w:firstLine="420" w:firstLineChars="200"/>
        <w:rPr>
          <w:color w:val="auto"/>
          <w:highlight w:val="none"/>
        </w:rPr>
      </w:pPr>
      <w:r>
        <w:rPr>
          <w:rFonts w:hint="eastAsia"/>
          <w:color w:val="auto"/>
          <w:highlight w:val="none"/>
        </w:rPr>
        <w:t>本公司在投标前已充分知悉以下情形为参与政府采购活动时的重大风险事项，并承诺已对下述风险提示事项重点排查，做到严谨、诚信、依法依规参与政府采购活动。</w:t>
      </w:r>
    </w:p>
    <w:p>
      <w:pPr>
        <w:ind w:firstLine="420" w:firstLineChars="200"/>
        <w:rPr>
          <w:color w:val="auto"/>
          <w:highlight w:val="none"/>
        </w:rPr>
      </w:pPr>
      <w:r>
        <w:rPr>
          <w:rFonts w:hint="eastAsia"/>
          <w:color w:val="auto"/>
          <w:highlight w:val="none"/>
        </w:rPr>
        <w:t>一、本公司已充分知悉“隐瞒真实情况，提供虚假资料”的法定情形，相关情形包括但不限于：</w:t>
      </w:r>
    </w:p>
    <w:p>
      <w:pPr>
        <w:ind w:firstLine="420" w:firstLineChars="200"/>
        <w:rPr>
          <w:color w:val="auto"/>
          <w:highlight w:val="none"/>
        </w:rPr>
      </w:pPr>
      <w:r>
        <w:rPr>
          <w:rFonts w:hint="eastAsia"/>
          <w:color w:val="auto"/>
          <w:highlight w:val="none"/>
        </w:rPr>
        <w:t>（一）通过转让或者租借等方式从其他单位获取资格或者资质证书投标的。</w:t>
      </w:r>
    </w:p>
    <w:p>
      <w:pPr>
        <w:ind w:firstLine="420" w:firstLineChars="200"/>
        <w:rPr>
          <w:color w:val="auto"/>
          <w:highlight w:val="none"/>
        </w:rPr>
      </w:pPr>
      <w:r>
        <w:rPr>
          <w:rFonts w:hint="eastAsia"/>
          <w:color w:val="auto"/>
          <w:highlight w:val="none"/>
        </w:rPr>
        <w:t>（二）由其他单位或者其他单位负责人在投标供应商编制的投标文件上加盖印章或者签字的。</w:t>
      </w:r>
    </w:p>
    <w:p>
      <w:pPr>
        <w:ind w:firstLine="420" w:firstLineChars="200"/>
        <w:rPr>
          <w:color w:val="auto"/>
          <w:highlight w:val="none"/>
        </w:rPr>
      </w:pPr>
      <w:r>
        <w:rPr>
          <w:rFonts w:hint="eastAsia"/>
          <w:color w:val="auto"/>
          <w:highlight w:val="none"/>
        </w:rPr>
        <w:t>（三）项目负责人或者主要技术人员不是本单位人员的。</w:t>
      </w:r>
    </w:p>
    <w:p>
      <w:pPr>
        <w:ind w:firstLine="420" w:firstLineChars="200"/>
        <w:rPr>
          <w:color w:val="auto"/>
          <w:highlight w:val="none"/>
        </w:rPr>
      </w:pPr>
      <w:r>
        <w:rPr>
          <w:rFonts w:hint="eastAsia"/>
          <w:color w:val="auto"/>
          <w:highlight w:val="none"/>
        </w:rPr>
        <w:t>（四）投标保证金不是从投标供应商基本账户转出的。</w:t>
      </w:r>
    </w:p>
    <w:p>
      <w:pPr>
        <w:ind w:firstLine="420" w:firstLineChars="200"/>
        <w:rPr>
          <w:color w:val="auto"/>
          <w:highlight w:val="none"/>
        </w:rPr>
      </w:pPr>
      <w:r>
        <w:rPr>
          <w:rFonts w:hint="eastAsia"/>
          <w:color w:val="auto"/>
          <w:highlight w:val="none"/>
        </w:rPr>
        <w:t>（五）其他隐瞒真实情况、提供虚假资料的行为。</w:t>
      </w:r>
    </w:p>
    <w:p>
      <w:pPr>
        <w:ind w:firstLine="420" w:firstLineChars="200"/>
        <w:rPr>
          <w:color w:val="auto"/>
          <w:highlight w:val="none"/>
        </w:rPr>
      </w:pPr>
      <w:r>
        <w:rPr>
          <w:rFonts w:hint="eastAsia"/>
          <w:color w:val="auto"/>
          <w:highlight w:val="none"/>
        </w:rPr>
        <w:t>二、本公司已充分知悉“与其他采购参加人串通投标”的法定情形，相关情形包括但不限于：</w:t>
      </w:r>
    </w:p>
    <w:p>
      <w:pPr>
        <w:ind w:firstLine="420" w:firstLineChars="200"/>
        <w:rPr>
          <w:color w:val="auto"/>
          <w:highlight w:val="none"/>
        </w:rPr>
      </w:pPr>
      <w:r>
        <w:rPr>
          <w:rFonts w:hint="eastAsia"/>
          <w:color w:val="auto"/>
          <w:highlight w:val="none"/>
        </w:rPr>
        <w:t>（一）投标供应商之间相互约定给予未中标的供应商利益补偿。</w:t>
      </w:r>
    </w:p>
    <w:p>
      <w:pPr>
        <w:ind w:firstLine="420" w:firstLineChars="200"/>
        <w:rPr>
          <w:color w:val="auto"/>
          <w:highlight w:val="none"/>
        </w:rPr>
      </w:pPr>
      <w:r>
        <w:rPr>
          <w:rFonts w:hint="eastAsia"/>
          <w:color w:val="auto"/>
          <w:highlight w:val="none"/>
        </w:rPr>
        <w:t>（二）不同投标供应商的法定代表人、主要经营负责人、项目投标授权代表人、项目负责人、主要技术人员为同一人、属同一单位或者在同一单位缴纳社会保险。</w:t>
      </w:r>
    </w:p>
    <w:p>
      <w:pPr>
        <w:ind w:firstLine="420" w:firstLineChars="200"/>
        <w:rPr>
          <w:color w:val="auto"/>
          <w:highlight w:val="none"/>
        </w:rPr>
      </w:pPr>
      <w:r>
        <w:rPr>
          <w:rFonts w:hint="eastAsia"/>
          <w:color w:val="auto"/>
          <w:highlight w:val="none"/>
        </w:rPr>
        <w:t>（三）不同投标供应商的投标文件由同一单位或者同一人编制，或者由同一人分阶段参与编制的。</w:t>
      </w:r>
    </w:p>
    <w:p>
      <w:pPr>
        <w:ind w:firstLine="420" w:firstLineChars="200"/>
        <w:rPr>
          <w:color w:val="auto"/>
          <w:highlight w:val="none"/>
        </w:rPr>
      </w:pPr>
      <w:r>
        <w:rPr>
          <w:rFonts w:hint="eastAsia"/>
          <w:color w:val="auto"/>
          <w:highlight w:val="none"/>
        </w:rPr>
        <w:t>（四）不同投标供应商的投标文件或部分投标文件相互混装。</w:t>
      </w:r>
    </w:p>
    <w:p>
      <w:pPr>
        <w:ind w:firstLine="420" w:firstLineChars="200"/>
        <w:rPr>
          <w:color w:val="auto"/>
          <w:highlight w:val="none"/>
        </w:rPr>
      </w:pPr>
      <w:r>
        <w:rPr>
          <w:rFonts w:hint="eastAsia"/>
          <w:color w:val="auto"/>
          <w:highlight w:val="none"/>
        </w:rPr>
        <w:t>（五）不同投标供应商的投标文件内容存在非正常一致。</w:t>
      </w:r>
    </w:p>
    <w:p>
      <w:pPr>
        <w:ind w:firstLine="420" w:firstLineChars="200"/>
        <w:rPr>
          <w:color w:val="auto"/>
          <w:highlight w:val="none"/>
        </w:rPr>
      </w:pPr>
      <w:r>
        <w:rPr>
          <w:rFonts w:hint="eastAsia"/>
          <w:color w:val="auto"/>
          <w:highlight w:val="none"/>
        </w:rPr>
        <w:t>（六）由同一单位工作人员为两家以上（含两家）供应商进行同一项投标活动的。</w:t>
      </w:r>
    </w:p>
    <w:p>
      <w:pPr>
        <w:ind w:firstLine="420" w:firstLineChars="200"/>
        <w:rPr>
          <w:color w:val="auto"/>
          <w:highlight w:val="none"/>
        </w:rPr>
      </w:pPr>
      <w:r>
        <w:rPr>
          <w:rFonts w:hint="eastAsia"/>
          <w:color w:val="auto"/>
          <w:highlight w:val="none"/>
        </w:rPr>
        <w:t>（七）不同投标人的投标报价呈规律性差异。</w:t>
      </w:r>
    </w:p>
    <w:p>
      <w:pPr>
        <w:ind w:firstLine="420" w:firstLineChars="200"/>
        <w:rPr>
          <w:color w:val="auto"/>
          <w:highlight w:val="none"/>
        </w:rPr>
      </w:pPr>
      <w:r>
        <w:rPr>
          <w:rFonts w:hint="eastAsia"/>
          <w:color w:val="auto"/>
          <w:highlight w:val="none"/>
        </w:rPr>
        <w:t>（八）不同投标人的投标保证金从同一单位或者个人的账户转出。</w:t>
      </w:r>
    </w:p>
    <w:p>
      <w:pPr>
        <w:ind w:firstLine="420" w:firstLineChars="200"/>
        <w:rPr>
          <w:color w:val="auto"/>
          <w:highlight w:val="none"/>
        </w:rPr>
      </w:pPr>
      <w:r>
        <w:rPr>
          <w:rFonts w:hint="eastAsia"/>
          <w:color w:val="auto"/>
          <w:highlight w:val="none"/>
        </w:rPr>
        <w:t>（九）主管部门依照法律、法规认定的其他情形。</w:t>
      </w:r>
    </w:p>
    <w:p>
      <w:pPr>
        <w:ind w:firstLine="420" w:firstLineChars="200"/>
        <w:rPr>
          <w:color w:val="auto"/>
          <w:highlight w:val="none"/>
        </w:rPr>
      </w:pPr>
      <w:r>
        <w:rPr>
          <w:rFonts w:hint="eastAsia"/>
          <w:color w:val="auto"/>
          <w:highlight w:val="none"/>
        </w:rPr>
        <w:t>三、本公司已充分知悉下列情形所对应的法律风险，并在投标前已对相关风险事项进行排查。</w:t>
      </w:r>
    </w:p>
    <w:p>
      <w:pPr>
        <w:ind w:firstLine="420" w:firstLineChars="200"/>
        <w:rPr>
          <w:color w:val="auto"/>
          <w:highlight w:val="none"/>
        </w:rPr>
      </w:pPr>
      <w:r>
        <w:rPr>
          <w:rFonts w:hint="eastAsia"/>
          <w:color w:val="auto"/>
          <w:highlight w:val="none"/>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ind w:firstLine="420" w:firstLineChars="200"/>
        <w:rPr>
          <w:color w:val="auto"/>
          <w:highlight w:val="none"/>
        </w:rPr>
      </w:pPr>
      <w:r>
        <w:rPr>
          <w:rFonts w:hint="eastAsia"/>
          <w:color w:val="auto"/>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rPr>
          <w:color w:val="auto"/>
          <w:highlight w:val="none"/>
        </w:rPr>
      </w:pPr>
      <w:r>
        <w:rPr>
          <w:rFonts w:hint="eastAsia"/>
          <w:color w:val="auto"/>
          <w:highlight w:val="none"/>
        </w:rPr>
        <w:t>（三）对于涉及安全生产、特种作业、抢险救灾、防疫等政府采购项目，供应商实施提供虚假资料、串通投标等违法行为的，主管部门将依法从严处理。</w:t>
      </w:r>
    </w:p>
    <w:p>
      <w:pPr>
        <w:ind w:firstLine="420" w:firstLineChars="200"/>
        <w:rPr>
          <w:color w:val="auto"/>
          <w:highlight w:val="none"/>
        </w:rPr>
      </w:pPr>
      <w:r>
        <w:rPr>
          <w:rFonts w:hint="eastAsia"/>
          <w:color w:val="auto"/>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rPr>
          <w:color w:val="auto"/>
          <w:highlight w:val="none"/>
        </w:rPr>
      </w:pPr>
      <w:r>
        <w:rPr>
          <w:rFonts w:hint="eastAsia"/>
          <w:color w:val="auto"/>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rPr>
          <w:color w:val="auto"/>
          <w:highlight w:val="none"/>
        </w:rPr>
      </w:pPr>
      <w:r>
        <w:rPr>
          <w:rFonts w:hint="eastAsia"/>
          <w:color w:val="auto"/>
          <w:highlight w:val="none"/>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0" w:firstLineChars="200"/>
        <w:rPr>
          <w:color w:val="auto"/>
          <w:highlight w:val="none"/>
        </w:rPr>
      </w:pPr>
      <w:r>
        <w:rPr>
          <w:rFonts w:hint="eastAsia"/>
          <w:color w:val="auto"/>
          <w:highlight w:val="none"/>
        </w:rPr>
        <w:t>四、本公司已充分知悉政府采购违法、违规行为的法律后果。</w:t>
      </w:r>
    </w:p>
    <w:p>
      <w:pPr>
        <w:ind w:firstLine="420" w:firstLineChars="200"/>
        <w:rPr>
          <w:color w:val="auto"/>
          <w:highlight w:val="none"/>
        </w:rPr>
      </w:pPr>
      <w:r>
        <w:rPr>
          <w:rFonts w:hint="eastAsia"/>
          <w:color w:val="auto"/>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rPr>
          <w:color w:val="auto"/>
          <w:highlight w:val="none"/>
        </w:rPr>
      </w:pPr>
      <w:r>
        <w:rPr>
          <w:rFonts w:hint="eastAsia"/>
          <w:color w:val="auto"/>
          <w:highlight w:val="none"/>
        </w:rPr>
        <w:t>以下文字请投标供应商抄写并确认：“本公司已仔细阅读《政府采购违法行为风险知悉确认书》，充分知悉违法行为的法律后果，并承诺将严谨、诚信、依法依规参与政府采购活动”。</w:t>
      </w:r>
    </w:p>
    <w:p>
      <w:pPr>
        <w:ind w:firstLine="420" w:firstLineChars="200"/>
        <w:rPr>
          <w:rFonts w:eastAsiaTheme="minorEastAsia"/>
          <w:color w:val="auto"/>
          <w:highlight w:val="none"/>
          <w:u w:val="single"/>
        </w:rPr>
      </w:pPr>
      <w:r>
        <w:rPr>
          <w:rFonts w:hint="eastAsia"/>
          <w:color w:val="auto"/>
          <w:highlight w:val="none"/>
          <w:u w:val="single"/>
        </w:rPr>
        <w:t xml:space="preserve">                                                                                              </w:t>
      </w:r>
    </w:p>
    <w:p>
      <w:pPr>
        <w:ind w:firstLine="420" w:firstLineChars="200"/>
        <w:rPr>
          <w:rFonts w:eastAsiaTheme="minorEastAsia"/>
          <w:color w:val="auto"/>
          <w:highlight w:val="none"/>
          <w:u w:val="single"/>
        </w:rPr>
      </w:pPr>
      <w:r>
        <w:rPr>
          <w:rFonts w:hint="eastAsia"/>
          <w:color w:val="auto"/>
          <w:highlight w:val="none"/>
          <w:u w:val="single"/>
        </w:rPr>
        <w:t xml:space="preserve">                                                                             </w:t>
      </w:r>
    </w:p>
    <w:p>
      <w:pPr>
        <w:ind w:firstLine="420" w:firstLineChars="200"/>
        <w:rPr>
          <w:color w:val="auto"/>
          <w:highlight w:val="none"/>
        </w:rPr>
      </w:pPr>
      <w:r>
        <w:rPr>
          <w:rFonts w:hint="eastAsia"/>
          <w:color w:val="auto"/>
          <w:highlight w:val="none"/>
        </w:rPr>
        <w:t>负责人/投标授权代表签名：</w:t>
      </w:r>
    </w:p>
    <w:p>
      <w:pPr>
        <w:ind w:firstLine="420" w:firstLineChars="200"/>
        <w:rPr>
          <w:color w:val="auto"/>
          <w:highlight w:val="none"/>
        </w:rPr>
      </w:pPr>
      <w:r>
        <w:rPr>
          <w:rFonts w:hint="eastAsia"/>
          <w:color w:val="auto"/>
          <w:highlight w:val="none"/>
        </w:rPr>
        <w:t>知悉人（公章）：</w:t>
      </w:r>
    </w:p>
    <w:p>
      <w:pPr>
        <w:ind w:firstLine="420" w:firstLineChars="200"/>
        <w:rPr>
          <w:rFonts w:eastAsiaTheme="minorEastAsia"/>
          <w:color w:val="auto"/>
          <w:highlight w:val="none"/>
        </w:rPr>
      </w:pPr>
      <w:r>
        <w:rPr>
          <w:rFonts w:hint="eastAsia"/>
          <w:color w:val="auto"/>
          <w:highlight w:val="none"/>
        </w:rPr>
        <w:t>日期：</w:t>
      </w:r>
    </w:p>
    <w:p>
      <w:pP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br w:type="page"/>
      </w:r>
    </w:p>
    <w:p>
      <w:pPr>
        <w:pStyle w:val="Heading3"/>
        <w:keepNext w:val="0"/>
        <w:keepLines w:val="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四、中小企业、残疾人福利性单位及监狱企业声明函（可选项）</w:t>
      </w:r>
    </w:p>
    <w:p>
      <w:pPr>
        <w:spacing w:line="46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填写指引：</w:t>
      </w:r>
    </w:p>
    <w:p>
      <w:pPr>
        <w:spacing w:line="46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1、该部分内容供填写</w:t>
      </w:r>
      <w:r>
        <w:rPr>
          <w:rFonts w:asciiTheme="minorEastAsia" w:eastAsiaTheme="minorEastAsia" w:hAnsiTheme="minorEastAsia"/>
          <w:color w:val="auto"/>
          <w:szCs w:val="21"/>
          <w:highlight w:val="none"/>
        </w:rPr>
        <w:t>参考，</w:t>
      </w:r>
      <w:r>
        <w:rPr>
          <w:rFonts w:asciiTheme="minorEastAsia" w:eastAsiaTheme="minorEastAsia" w:hAnsiTheme="minorEastAsia" w:hint="eastAsia"/>
          <w:color w:val="auto"/>
          <w:szCs w:val="21"/>
          <w:highlight w:val="none"/>
        </w:rPr>
        <w:t>由供应商根据项目</w:t>
      </w:r>
      <w:r>
        <w:rPr>
          <w:rFonts w:asciiTheme="minorEastAsia" w:eastAsiaTheme="minorEastAsia" w:hAnsiTheme="minorEastAsia"/>
          <w:color w:val="auto"/>
          <w:szCs w:val="21"/>
          <w:highlight w:val="none"/>
        </w:rPr>
        <w:t>特点和</w:t>
      </w:r>
      <w:r>
        <w:rPr>
          <w:rFonts w:asciiTheme="minorEastAsia" w:eastAsiaTheme="minorEastAsia" w:hAnsiTheme="minorEastAsia" w:hint="eastAsia"/>
          <w:color w:val="auto"/>
          <w:szCs w:val="21"/>
          <w:highlight w:val="none"/>
        </w:rPr>
        <w:t>自身实际情况填写，不符合要求的供应商可以不填写或直接删除相应的声明函。投标人自行对声明内容的真实性负责；如提供虚假声明，将报送主管部门进行行政处罚。</w:t>
      </w:r>
    </w:p>
    <w:p>
      <w:pPr>
        <w:spacing w:line="46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2、请依照提供的格式和内容填写声明函，声明函不需要盖章或签字；满足多项优惠政策的企业，不重复享受多项价格扣除政策。</w:t>
      </w:r>
    </w:p>
    <w:p>
      <w:pPr>
        <w:spacing w:line="46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3、本项目采购标的对应的中小企业划分标准所属行业为</w:t>
      </w:r>
      <w:r>
        <w:rPr>
          <w:rFonts w:asciiTheme="minorEastAsia" w:eastAsiaTheme="minorEastAsia" w:hAnsiTheme="minorEastAsia" w:hint="eastAsia"/>
          <w:b/>
          <w:bCs/>
          <w:color w:val="auto"/>
          <w:szCs w:val="21"/>
          <w:highlight w:val="none"/>
          <w:u w:val="single"/>
          <w:lang w:val="en-US" w:eastAsia="zh-CN"/>
        </w:rPr>
        <w:t>其他未列明行业</w:t>
      </w:r>
      <w:r>
        <w:rPr>
          <w:rFonts w:asciiTheme="minorEastAsia" w:eastAsiaTheme="minorEastAsia" w:hAnsiTheme="minorEastAsia" w:hint="eastAsia"/>
          <w:color w:val="auto"/>
          <w:szCs w:val="21"/>
          <w:highlight w:val="none"/>
        </w:rPr>
        <w:t>；</w:t>
      </w:r>
    </w:p>
    <w:p>
      <w:pPr>
        <w:spacing w:line="46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4、声明是残疾人福利性单位、监狱企业须填写《残疾人福利性单位声明函》《监狱企业声明函》。</w:t>
      </w:r>
    </w:p>
    <w:p>
      <w:pPr>
        <w:spacing w:line="460" w:lineRule="exact"/>
        <w:ind w:firstLine="420" w:firstLineChars="200"/>
        <w:rPr>
          <w:rFonts w:ascii="黑体" w:eastAsia="黑体" w:hAnsi="宋体"/>
          <w:b/>
          <w:bCs/>
          <w:color w:val="auto"/>
          <w:kern w:val="0"/>
          <w:szCs w:val="21"/>
          <w:highlight w:val="none"/>
        </w:rPr>
      </w:pPr>
      <w:r>
        <w:rPr>
          <w:rFonts w:asciiTheme="minorEastAsia" w:eastAsiaTheme="minorEastAsia" w:hAnsiTheme="minorEastAsia" w:hint="eastAsia"/>
          <w:color w:val="auto"/>
          <w:szCs w:val="21"/>
          <w:highlight w:val="none"/>
        </w:rPr>
        <w:t>5、声明函的有效性最终由评审委员会判定；如评审委员会判定声明函无效，相关供应商不享受价格扣除（但不作投标无效处理）。</w:t>
      </w:r>
    </w:p>
    <w:p>
      <w:pPr>
        <w:spacing w:line="460" w:lineRule="exact"/>
        <w:ind w:firstLine="420" w:firstLineChars="200"/>
        <w:rPr>
          <w:rFonts w:asciiTheme="minorEastAsia" w:eastAsiaTheme="minorEastAsia" w:hAnsiTheme="minorEastAsia"/>
          <w:color w:val="auto"/>
          <w:sz w:val="24"/>
          <w:highlight w:val="none"/>
        </w:rPr>
      </w:pPr>
    </w:p>
    <w:p>
      <w:pPr>
        <w:pStyle w:val="Heading4"/>
        <w:keepNext w:val="0"/>
        <w:keepLines w:val="0"/>
        <w:spacing w:before="0" w:after="120" w:line="460" w:lineRule="exact"/>
        <w:jc w:val="center"/>
        <w:rPr>
          <w:rFonts w:asciiTheme="minorEastAsia" w:eastAsiaTheme="minorEastAsia" w:hAnsiTheme="minorEastAsia"/>
          <w:color w:val="auto"/>
          <w:sz w:val="24"/>
          <w:szCs w:val="24"/>
          <w:highlight w:val="none"/>
        </w:rPr>
      </w:pPr>
      <w:r>
        <w:rPr>
          <w:rFonts w:asciiTheme="minorEastAsia" w:eastAsiaTheme="minorEastAsia" w:hAnsiTheme="minorEastAsia" w:hint="eastAsia"/>
          <w:color w:val="auto"/>
          <w:sz w:val="24"/>
          <w:szCs w:val="24"/>
          <w:highlight w:val="none"/>
        </w:rPr>
        <w:t>（一）中小企业声明函（样表）</w:t>
      </w:r>
    </w:p>
    <w:p>
      <w:pPr>
        <w:spacing w:line="460" w:lineRule="exact"/>
        <w:ind w:firstLine="420" w:firstLineChars="200"/>
        <w:rPr>
          <w:rFonts w:ascii="宋体" w:hAnsi="宋体" w:cs="宋体"/>
          <w:color w:val="auto"/>
          <w:szCs w:val="21"/>
          <w:highlight w:val="none"/>
        </w:rPr>
      </w:pPr>
      <w:r>
        <w:rPr>
          <w:rFonts w:ascii="宋体" w:hAnsi="宋体" w:cs="宋体" w:hint="eastAsia"/>
          <w:color w:val="auto"/>
          <w:szCs w:val="21"/>
          <w:highlight w:val="none"/>
        </w:rPr>
        <w:t>本</w:t>
      </w:r>
      <w:r>
        <w:rPr>
          <w:rFonts w:asciiTheme="minorEastAsia" w:eastAsiaTheme="minorEastAsia" w:hAnsiTheme="minorEastAsia" w:hint="eastAsia"/>
          <w:color w:val="auto"/>
          <w:szCs w:val="21"/>
          <w:highlight w:val="none"/>
        </w:rPr>
        <w:t>公司</w:t>
      </w:r>
      <w:r>
        <w:rPr>
          <w:rFonts w:ascii="宋体" w:hAnsi="宋体" w:cs="宋体" w:hint="eastAsia"/>
          <w:color w:val="auto"/>
          <w:szCs w:val="21"/>
          <w:highlight w:val="none"/>
        </w:rPr>
        <w:t>（联合体）郑重声明，根据《政府采购促进中小企业发展管理办法》（财库〔2020〕46号）的规定，本公司（联合体）参加</w:t>
      </w:r>
      <w:r>
        <w:rPr>
          <w:rFonts w:ascii="宋体" w:hAnsi="宋体" w:cs="宋体" w:hint="eastAsia"/>
          <w:color w:val="auto"/>
          <w:szCs w:val="21"/>
          <w:highlight w:val="none"/>
          <w:u w:val="single"/>
        </w:rPr>
        <w:t>（单位名称）</w:t>
      </w:r>
      <w:r>
        <w:rPr>
          <w:rFonts w:ascii="宋体" w:hAnsi="宋体" w:cs="宋体" w:hint="eastAsia"/>
          <w:color w:val="auto"/>
          <w:szCs w:val="21"/>
          <w:highlight w:val="none"/>
        </w:rPr>
        <w:t>的</w:t>
      </w:r>
      <w:r>
        <w:rPr>
          <w:rFonts w:ascii="宋体" w:hAnsi="宋体" w:cs="宋体" w:hint="eastAsia"/>
          <w:color w:val="auto"/>
          <w:szCs w:val="21"/>
          <w:highlight w:val="none"/>
          <w:u w:val="single"/>
        </w:rPr>
        <w:t>（项目名称）</w:t>
      </w:r>
      <w:r>
        <w:rPr>
          <w:rFonts w:ascii="宋体" w:hAnsi="宋体" w:cs="宋体" w:hint="eastAsia"/>
          <w:color w:val="auto"/>
          <w:szCs w:val="21"/>
          <w:highlight w:val="none"/>
        </w:rPr>
        <w:t>采购活动，服务全部由符合政策要求的中小企业承接。相关企业（含联合体中的中小企业、签订分包意向协议的中小企业）的具体情况如下：</w:t>
      </w:r>
    </w:p>
    <w:p>
      <w:pPr>
        <w:spacing w:line="460" w:lineRule="exact"/>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1.</w:t>
      </w:r>
      <w:r>
        <w:rPr>
          <w:rFonts w:ascii="宋体" w:hAnsi="宋体" w:cs="宋体" w:hint="eastAsia"/>
          <w:color w:val="auto"/>
          <w:szCs w:val="21"/>
          <w:highlight w:val="none"/>
          <w:u w:val="single"/>
        </w:rPr>
        <w:t>（标的名称）</w:t>
      </w:r>
      <w:r>
        <w:rPr>
          <w:rFonts w:ascii="宋体" w:hAnsi="宋体" w:cs="宋体" w:hint="eastAsia"/>
          <w:color w:val="auto"/>
          <w:szCs w:val="21"/>
          <w:highlight w:val="none"/>
        </w:rPr>
        <w:t>，属于</w:t>
      </w:r>
      <w:r>
        <w:rPr>
          <w:rFonts w:ascii="宋体" w:hAnsi="宋体" w:cs="宋体" w:hint="eastAsia"/>
          <w:color w:val="auto"/>
          <w:szCs w:val="21"/>
          <w:highlight w:val="none"/>
          <w:u w:val="single"/>
        </w:rPr>
        <w:t>（采购文件中明确的所属行业）</w:t>
      </w:r>
      <w:r>
        <w:rPr>
          <w:rFonts w:ascii="宋体" w:hAnsi="宋体" w:cs="宋体" w:hint="eastAsia"/>
          <w:color w:val="auto"/>
          <w:szCs w:val="21"/>
          <w:highlight w:val="none"/>
        </w:rPr>
        <w:t>；承接企业为</w:t>
      </w:r>
      <w:r>
        <w:rPr>
          <w:rFonts w:ascii="宋体" w:hAnsi="宋体" w:cs="宋体" w:hint="eastAsia"/>
          <w:color w:val="auto"/>
          <w:szCs w:val="21"/>
          <w:highlight w:val="none"/>
          <w:u w:val="single"/>
        </w:rPr>
        <w:t>（企业名称）</w:t>
      </w:r>
      <w:r>
        <w:rPr>
          <w:rFonts w:ascii="宋体" w:hAnsi="宋体" w:cs="宋体" w:hint="eastAsia"/>
          <w:color w:val="auto"/>
          <w:szCs w:val="21"/>
          <w:highlight w:val="none"/>
        </w:rPr>
        <w:t>，从业人员</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人，营业收入为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万元，资产总额为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万元，属于</w:t>
      </w:r>
      <w:r>
        <w:rPr>
          <w:rFonts w:ascii="宋体" w:hAnsi="宋体" w:cs="宋体" w:hint="eastAsia"/>
          <w:color w:val="auto"/>
          <w:szCs w:val="21"/>
          <w:highlight w:val="none"/>
          <w:u w:val="single"/>
        </w:rPr>
        <w:t>（中型企业、小型企业、微型企业）</w:t>
      </w:r>
      <w:r>
        <w:rPr>
          <w:rFonts w:ascii="宋体" w:hAnsi="宋体" w:cs="宋体" w:hint="eastAsia"/>
          <w:color w:val="auto"/>
          <w:szCs w:val="21"/>
          <w:highlight w:val="none"/>
        </w:rPr>
        <w:t>；</w:t>
      </w:r>
    </w:p>
    <w:p>
      <w:pPr>
        <w:spacing w:line="460" w:lineRule="exact"/>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u w:val="single"/>
        </w:rPr>
        <w:t xml:space="preserve"> （标的名称）</w:t>
      </w:r>
      <w:r>
        <w:rPr>
          <w:rFonts w:ascii="宋体" w:hAnsi="宋体" w:cs="宋体" w:hint="eastAsia"/>
          <w:color w:val="auto"/>
          <w:szCs w:val="21"/>
          <w:highlight w:val="none"/>
        </w:rPr>
        <w:t>，属于</w:t>
      </w:r>
      <w:r>
        <w:rPr>
          <w:rFonts w:ascii="宋体" w:hAnsi="宋体" w:cs="宋体" w:hint="eastAsia"/>
          <w:color w:val="auto"/>
          <w:szCs w:val="21"/>
          <w:highlight w:val="none"/>
          <w:u w:val="single"/>
        </w:rPr>
        <w:t>（采购文件中明确的所属行业）</w:t>
      </w:r>
      <w:r>
        <w:rPr>
          <w:rFonts w:ascii="宋体" w:hAnsi="宋体" w:cs="宋体" w:hint="eastAsia"/>
          <w:color w:val="auto"/>
          <w:szCs w:val="21"/>
          <w:highlight w:val="none"/>
        </w:rPr>
        <w:t>；承接企业为</w:t>
      </w:r>
      <w:r>
        <w:rPr>
          <w:rFonts w:ascii="宋体" w:hAnsi="宋体" w:cs="宋体" w:hint="eastAsia"/>
          <w:color w:val="auto"/>
          <w:szCs w:val="21"/>
          <w:highlight w:val="none"/>
          <w:u w:val="single"/>
        </w:rPr>
        <w:t>（企业名称）</w:t>
      </w:r>
      <w:r>
        <w:rPr>
          <w:rFonts w:ascii="宋体" w:hAnsi="宋体" w:cs="宋体" w:hint="eastAsia"/>
          <w:color w:val="auto"/>
          <w:szCs w:val="21"/>
          <w:highlight w:val="none"/>
        </w:rPr>
        <w:t>，从业人员</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人，营业收入为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万元，资产总额为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万元，属于</w:t>
      </w:r>
      <w:r>
        <w:rPr>
          <w:rFonts w:ascii="宋体" w:hAnsi="宋体" w:cs="宋体" w:hint="eastAsia"/>
          <w:color w:val="auto"/>
          <w:szCs w:val="21"/>
          <w:highlight w:val="none"/>
          <w:u w:val="single"/>
        </w:rPr>
        <w:t>（中型企业、小型企业、微型企业）</w:t>
      </w:r>
      <w:r>
        <w:rPr>
          <w:rFonts w:ascii="宋体" w:hAnsi="宋体" w:cs="宋体" w:hint="eastAsia"/>
          <w:color w:val="auto"/>
          <w:szCs w:val="21"/>
          <w:highlight w:val="none"/>
        </w:rPr>
        <w:t>；</w:t>
      </w:r>
    </w:p>
    <w:p>
      <w:pPr>
        <w:spacing w:line="460" w:lineRule="exact"/>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w:t>
      </w:r>
    </w:p>
    <w:p>
      <w:pPr>
        <w:spacing w:line="460" w:lineRule="exact"/>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以上企业，不属于大企业的分支机构，不存在控股股东为大企业的情形，也不存在与大企业的负责人为同一人的情形。</w:t>
      </w:r>
    </w:p>
    <w:p>
      <w:pPr>
        <w:spacing w:line="440" w:lineRule="exact"/>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NormalWeb"/>
        <w:shd w:val="clear" w:color="auto" w:fill="FFFFFF"/>
        <w:spacing w:line="460" w:lineRule="exact"/>
        <w:ind w:firstLine="420"/>
        <w:rPr>
          <w:rFonts w:ascii="宋体" w:hAnsi="宋体"/>
          <w:b/>
          <w:color w:val="auto"/>
          <w:sz w:val="21"/>
          <w:szCs w:val="21"/>
          <w:highlight w:val="none"/>
        </w:rPr>
      </w:pPr>
      <w:r>
        <w:rPr>
          <w:rFonts w:ascii="宋体" w:hAnsi="宋体" w:hint="eastAsia"/>
          <w:b/>
          <w:color w:val="auto"/>
          <w:sz w:val="21"/>
          <w:szCs w:val="21"/>
          <w:highlight w:val="none"/>
        </w:rPr>
        <w:t>备注：</w:t>
      </w:r>
    </w:p>
    <w:p>
      <w:pPr>
        <w:pStyle w:val="NormalWeb"/>
        <w:shd w:val="clear" w:color="auto" w:fill="FFFFFF"/>
        <w:spacing w:line="460" w:lineRule="exact"/>
        <w:ind w:firstLine="420"/>
        <w:rPr>
          <w:rFonts w:ascii="宋体" w:hAnsi="宋体"/>
          <w:color w:val="auto"/>
          <w:sz w:val="21"/>
          <w:szCs w:val="21"/>
          <w:highlight w:val="none"/>
        </w:rPr>
      </w:pPr>
      <w:r>
        <w:rPr>
          <w:rFonts w:ascii="宋体" w:hAnsi="宋体" w:hint="eastAsia"/>
          <w:color w:val="auto"/>
          <w:sz w:val="21"/>
          <w:szCs w:val="21"/>
          <w:highlight w:val="none"/>
        </w:rPr>
        <w:t>1、从业人员、营业收入、资产总额填报上一年度数据，无上一年度数据的新成立企业可不填报。</w:t>
      </w:r>
    </w:p>
    <w:p>
      <w:pPr>
        <w:pStyle w:val="NormalWeb"/>
        <w:shd w:val="clear" w:color="auto" w:fill="FFFFFF"/>
        <w:spacing w:line="460" w:lineRule="exact"/>
        <w:ind w:firstLine="420"/>
        <w:rPr>
          <w:color w:val="auto"/>
          <w:sz w:val="21"/>
          <w:szCs w:val="21"/>
          <w:highlight w:val="none"/>
        </w:rPr>
      </w:pPr>
      <w:r>
        <w:rPr>
          <w:rFonts w:ascii="宋体" w:hAnsi="宋体" w:hint="eastAsia"/>
          <w:color w:val="auto"/>
          <w:sz w:val="21"/>
          <w:szCs w:val="21"/>
          <w:highlight w:val="none"/>
        </w:rPr>
        <w:t>2、本声明函仅适用于投标人为企业或个体工商户，其他组织形式单位不适用。</w:t>
      </w:r>
    </w:p>
    <w:p>
      <w:pPr>
        <w:spacing w:line="460" w:lineRule="exact"/>
        <w:ind w:firstLine="420" w:firstLineChars="200"/>
        <w:rPr>
          <w:rFonts w:asciiTheme="majorEastAsia" w:eastAsiaTheme="majorEastAsia" w:hAnsiTheme="majorEastAsia" w:cstheme="majorEastAsia"/>
          <w:color w:val="auto"/>
          <w:szCs w:val="21"/>
          <w:highlight w:val="none"/>
        </w:rPr>
      </w:pPr>
    </w:p>
    <w:p>
      <w:pPr>
        <w:pStyle w:val="Heading4"/>
        <w:keepNext w:val="0"/>
        <w:keepLines w:val="0"/>
        <w:spacing w:before="0" w:after="120" w:line="460" w:lineRule="exact"/>
        <w:jc w:val="center"/>
        <w:rPr>
          <w:rFonts w:asciiTheme="minorEastAsia" w:eastAsiaTheme="minorEastAsia" w:hAnsiTheme="minorEastAsia"/>
          <w:color w:val="auto"/>
          <w:sz w:val="24"/>
          <w:szCs w:val="24"/>
          <w:highlight w:val="none"/>
        </w:rPr>
      </w:pPr>
      <w:r>
        <w:rPr>
          <w:rFonts w:asciiTheme="minorEastAsia" w:eastAsiaTheme="minorEastAsia" w:hAnsiTheme="minorEastAsia" w:hint="eastAsia"/>
          <w:color w:val="auto"/>
          <w:sz w:val="24"/>
          <w:szCs w:val="24"/>
          <w:highlight w:val="none"/>
        </w:rPr>
        <w:t>（二）残疾人福利性单位声明函（样表）</w:t>
      </w:r>
    </w:p>
    <w:p>
      <w:pPr>
        <w:spacing w:line="460" w:lineRule="exact"/>
        <w:ind w:firstLine="420" w:firstLineChars="20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asciiTheme="majorEastAsia" w:eastAsiaTheme="majorEastAsia" w:hAnsiTheme="majorEastAsia" w:cstheme="majorEastAsia" w:hint="eastAsia"/>
          <w:i/>
          <w:color w:val="auto"/>
          <w:szCs w:val="21"/>
          <w:highlight w:val="none"/>
          <w:u w:val="single"/>
        </w:rPr>
        <w:t xml:space="preserve">  </w:t>
      </w:r>
      <w:r>
        <w:rPr>
          <w:rFonts w:asciiTheme="majorEastAsia" w:eastAsiaTheme="majorEastAsia" w:hAnsiTheme="majorEastAsia" w:cstheme="majorEastAsia" w:hint="eastAsia"/>
          <w:iCs/>
          <w:color w:val="auto"/>
          <w:szCs w:val="21"/>
          <w:highlight w:val="none"/>
          <w:u w:val="single"/>
        </w:rPr>
        <w:t xml:space="preserve">（采购单位名称）  </w:t>
      </w:r>
      <w:r>
        <w:rPr>
          <w:rFonts w:asciiTheme="majorEastAsia" w:eastAsiaTheme="majorEastAsia" w:hAnsiTheme="majorEastAsia" w:cstheme="majorEastAsia" w:hint="eastAsia"/>
          <w:iCs/>
          <w:color w:val="auto"/>
          <w:szCs w:val="21"/>
          <w:highlight w:val="none"/>
        </w:rPr>
        <w:t>单位的</w:t>
      </w:r>
      <w:r>
        <w:rPr>
          <w:rFonts w:asciiTheme="majorEastAsia" w:eastAsiaTheme="majorEastAsia" w:hAnsiTheme="majorEastAsia" w:cstheme="majorEastAsia" w:hint="eastAsia"/>
          <w:iCs/>
          <w:color w:val="auto"/>
          <w:szCs w:val="21"/>
          <w:highlight w:val="none"/>
          <w:u w:val="single"/>
        </w:rPr>
        <w:t xml:space="preserve">  （采购项目名称）   </w:t>
      </w:r>
      <w:r>
        <w:rPr>
          <w:rFonts w:asciiTheme="majorEastAsia" w:eastAsiaTheme="majorEastAsia" w:hAnsiTheme="majorEastAsia" w:cstheme="majorEastAsia" w:hint="eastAsia"/>
          <w:iCs/>
          <w:color w:val="auto"/>
          <w:szCs w:val="21"/>
          <w:highlight w:val="none"/>
        </w:rPr>
        <w:t>项目</w:t>
      </w:r>
      <w:r>
        <w:rPr>
          <w:rFonts w:asciiTheme="majorEastAsia" w:eastAsiaTheme="majorEastAsia" w:hAnsiTheme="majorEastAsia" w:cstheme="majorEastAsia" w:hint="eastAsia"/>
          <w:color w:val="auto"/>
          <w:szCs w:val="21"/>
          <w:highlight w:val="none"/>
        </w:rPr>
        <w:t>采购活动，并由本单位承接服务。</w:t>
      </w:r>
    </w:p>
    <w:p>
      <w:pPr>
        <w:spacing w:line="440" w:lineRule="exact"/>
        <w:ind w:firstLine="420" w:firstLineChars="200"/>
        <w:jc w:val="left"/>
        <w:rPr>
          <w:rFonts w:ascii="宋体" w:hAnsi="宋体" w:cs="宋体"/>
          <w:color w:val="auto"/>
          <w:szCs w:val="21"/>
          <w:highlight w:val="none"/>
        </w:rPr>
      </w:pPr>
      <w:r>
        <w:rPr>
          <w:rFonts w:asciiTheme="majorEastAsia" w:eastAsiaTheme="majorEastAsia" w:hAnsiTheme="majorEastAsia" w:cstheme="majorEastAsia" w:hint="eastAsia"/>
          <w:color w:val="auto"/>
          <w:szCs w:val="21"/>
          <w:highlight w:val="none"/>
        </w:rPr>
        <w:t>本单位已</w:t>
      </w:r>
      <w:r>
        <w:rPr>
          <w:rFonts w:ascii="宋体" w:hAnsi="宋体" w:cs="宋体" w:hint="eastAsia"/>
          <w:color w:val="auto"/>
          <w:szCs w:val="21"/>
          <w:highlight w:val="none"/>
        </w:rPr>
        <w:t>知悉《关于促进残疾人就业政府采购政策的通知》（财库〔2017〕141 号）的规定，承诺提供的声明函内容是真实的，如提供声明函内容不实，则依法追究相关法律责任。</w:t>
      </w:r>
    </w:p>
    <w:p>
      <w:pPr>
        <w:spacing w:line="460" w:lineRule="exact"/>
        <w:ind w:firstLine="420" w:firstLineChars="200"/>
        <w:rPr>
          <w:rFonts w:asciiTheme="majorEastAsia" w:eastAsiaTheme="majorEastAsia" w:hAnsiTheme="majorEastAsia" w:cstheme="majorEastAsia"/>
          <w:color w:val="auto"/>
          <w:szCs w:val="21"/>
          <w:highlight w:val="none"/>
        </w:rPr>
      </w:pPr>
    </w:p>
    <w:p>
      <w:pPr>
        <w:pStyle w:val="Heading4"/>
        <w:keepNext w:val="0"/>
        <w:keepLines w:val="0"/>
        <w:spacing w:before="0" w:after="120" w:line="460" w:lineRule="exact"/>
        <w:jc w:val="center"/>
        <w:rPr>
          <w:rFonts w:asciiTheme="minorEastAsia" w:eastAsiaTheme="minorEastAsia" w:hAnsiTheme="minorEastAsia"/>
          <w:color w:val="auto"/>
          <w:sz w:val="24"/>
          <w:szCs w:val="24"/>
          <w:highlight w:val="none"/>
        </w:rPr>
      </w:pPr>
      <w:r>
        <w:rPr>
          <w:rFonts w:asciiTheme="minorEastAsia" w:eastAsiaTheme="minorEastAsia" w:hAnsiTheme="minorEastAsia" w:hint="eastAsia"/>
          <w:color w:val="auto"/>
          <w:sz w:val="24"/>
          <w:szCs w:val="24"/>
          <w:highlight w:val="none"/>
        </w:rPr>
        <w:t>（三）监狱企业声明函（样表）</w:t>
      </w:r>
    </w:p>
    <w:p>
      <w:pPr>
        <w:spacing w:line="460" w:lineRule="exact"/>
        <w:ind w:firstLine="420" w:firstLineChars="20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本单位郑重声明，根据《财政部 司法部关于政府采购支持监狱企业发展有关问题的通知》（财库〔2014〕68号）的规定，本单位为符合条件的监狱企业，且本单位参加</w:t>
      </w:r>
      <w:r>
        <w:rPr>
          <w:rFonts w:asciiTheme="majorEastAsia" w:eastAsiaTheme="majorEastAsia" w:hAnsiTheme="majorEastAsia" w:cstheme="majorEastAsia" w:hint="eastAsia"/>
          <w:color w:val="auto"/>
          <w:szCs w:val="21"/>
          <w:highlight w:val="none"/>
          <w:u w:val="single"/>
        </w:rPr>
        <w:t xml:space="preserve">  （采购单位名称）  </w:t>
      </w:r>
      <w:r>
        <w:rPr>
          <w:rFonts w:asciiTheme="majorEastAsia" w:eastAsiaTheme="majorEastAsia" w:hAnsiTheme="majorEastAsia" w:cstheme="majorEastAsia" w:hint="eastAsia"/>
          <w:color w:val="auto"/>
          <w:szCs w:val="21"/>
          <w:highlight w:val="none"/>
        </w:rPr>
        <w:t>单位的</w:t>
      </w:r>
      <w:r>
        <w:rPr>
          <w:rFonts w:asciiTheme="majorEastAsia" w:eastAsiaTheme="majorEastAsia" w:hAnsiTheme="majorEastAsia" w:cstheme="majorEastAsia" w:hint="eastAsia"/>
          <w:color w:val="auto"/>
          <w:szCs w:val="21"/>
          <w:highlight w:val="none"/>
          <w:u w:val="single"/>
        </w:rPr>
        <w:t xml:space="preserve">（采购项目名称）  </w:t>
      </w:r>
      <w:r>
        <w:rPr>
          <w:rFonts w:asciiTheme="majorEastAsia" w:eastAsiaTheme="majorEastAsia" w:hAnsiTheme="majorEastAsia" w:cstheme="majorEastAsia" w:hint="eastAsia"/>
          <w:color w:val="auto"/>
          <w:szCs w:val="21"/>
          <w:highlight w:val="none"/>
        </w:rPr>
        <w:t>项目采购活动，并由本单位承接服务。</w:t>
      </w:r>
    </w:p>
    <w:p>
      <w:pPr>
        <w:spacing w:line="460" w:lineRule="exact"/>
        <w:ind w:firstLine="420" w:firstLineChars="20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本单位对上述声明的真实性负责。如有虚假，将依法承担相应责任。</w:t>
      </w:r>
    </w:p>
    <w:p>
      <w:pPr>
        <w:spacing w:line="460" w:lineRule="exact"/>
        <w:ind w:firstLine="420" w:firstLineChars="200"/>
        <w:jc w:val="left"/>
        <w:rPr>
          <w:rFonts w:asciiTheme="majorEastAsia" w:eastAsiaTheme="majorEastAsia" w:hAnsiTheme="majorEastAsia" w:cstheme="majorEastAsia"/>
          <w:color w:val="auto"/>
          <w:spacing w:val="-6"/>
          <w:szCs w:val="21"/>
          <w:highlight w:val="none"/>
        </w:rPr>
      </w:pPr>
      <w:r>
        <w:rPr>
          <w:rFonts w:asciiTheme="majorEastAsia" w:eastAsiaTheme="majorEastAsia" w:hAnsiTheme="majorEastAsia" w:cstheme="majorEastAsia" w:hint="eastAsia"/>
          <w:b/>
          <w:color w:val="auto"/>
          <w:szCs w:val="21"/>
          <w:highlight w:val="none"/>
        </w:rPr>
        <w:t>附：</w:t>
      </w:r>
      <w:r>
        <w:rPr>
          <w:rFonts w:asciiTheme="majorEastAsia" w:eastAsiaTheme="majorEastAsia" w:hAnsiTheme="majorEastAsia" w:cstheme="majorEastAsia" w:hint="eastAsia"/>
          <w:color w:val="auto"/>
          <w:spacing w:val="-6"/>
          <w:szCs w:val="21"/>
          <w:highlight w:val="none"/>
        </w:rPr>
        <w:t>省级以上监狱管理局、戒毒管理局（含新疆生产建设兵团）出具的监狱企业证明文件。</w:t>
      </w:r>
    </w:p>
    <w:p>
      <w:pPr>
        <w:spacing w:line="410" w:lineRule="exact"/>
        <w:rPr>
          <w:rFonts w:asciiTheme="majorEastAsia" w:eastAsiaTheme="majorEastAsia" w:hAnsiTheme="majorEastAsia" w:cstheme="majorEastAsia"/>
          <w:color w:val="auto"/>
          <w:szCs w:val="21"/>
          <w:highlight w:val="none"/>
        </w:rPr>
      </w:pPr>
    </w:p>
    <w:p>
      <w:pPr>
        <w:pStyle w:val="NormalWeb"/>
        <w:shd w:val="clear" w:color="auto" w:fill="FFFFFF"/>
        <w:spacing w:line="400" w:lineRule="exact"/>
        <w:ind w:firstLine="412" w:firstLineChars="196"/>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 w:val="21"/>
          <w:szCs w:val="21"/>
          <w:highlight w:val="none"/>
        </w:rPr>
        <w:br w:type="page"/>
      </w:r>
    </w:p>
    <w:p>
      <w:pPr>
        <w:pStyle w:val="Heading3"/>
        <w:keepNext w:val="0"/>
        <w:keepLines w:val="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五、详细分项报价清单</w:t>
      </w:r>
    </w:p>
    <w:p>
      <w:pPr>
        <w:tabs>
          <w:tab w:val="left" w:pos="720"/>
        </w:tabs>
        <w:ind w:firstLine="2730" w:firstLineChars="1300"/>
        <w:rPr>
          <w:b/>
          <w:color w:val="auto"/>
          <w:sz w:val="24"/>
          <w:highlight w:val="none"/>
        </w:rPr>
      </w:pPr>
      <w:r>
        <w:rPr>
          <w:rFonts w:hint="eastAsia"/>
          <w:b/>
          <w:color w:val="auto"/>
          <w:sz w:val="24"/>
          <w:highlight w:val="none"/>
        </w:rPr>
        <w:t>（一）分项报价表</w:t>
      </w:r>
    </w:p>
    <w:p>
      <w:pPr>
        <w:ind w:firstLine="420" w:firstLineChars="200"/>
        <w:rPr>
          <w:rFonts w:hAnsi="宋体"/>
          <w:b/>
          <w:bCs/>
          <w:color w:val="auto"/>
          <w:sz w:val="24"/>
          <w:highlight w:val="none"/>
        </w:rPr>
      </w:pPr>
    </w:p>
    <w:tbl>
      <w:tblPr>
        <w:tblStyle w:val="TableGrid"/>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0"/>
        <w:gridCol w:w="5114"/>
        <w:gridCol w:w="1391"/>
        <w:gridCol w:w="1314"/>
      </w:tblGrid>
      <w:tr>
        <w:tblPrEx>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710" w:type="dxa"/>
            <w:vAlign w:val="center"/>
          </w:tcPr>
          <w:p>
            <w:pPr>
              <w:widowControl/>
              <w:jc w:val="center"/>
              <w:rPr>
                <w:rFonts w:asciiTheme="minorEastAsia" w:eastAsiaTheme="minorEastAsia" w:hAnsiTheme="minorEastAsia" w:cstheme="minorEastAsia"/>
                <w:b/>
                <w:color w:val="auto"/>
                <w:szCs w:val="21"/>
                <w:highlight w:val="none"/>
              </w:rPr>
            </w:pPr>
            <w:r>
              <w:rPr>
                <w:rFonts w:asciiTheme="minorEastAsia" w:eastAsiaTheme="minorEastAsia" w:hAnsiTheme="minorEastAsia" w:cstheme="minorEastAsia" w:hint="eastAsia"/>
                <w:color w:val="auto"/>
                <w:kern w:val="0"/>
                <w:szCs w:val="21"/>
                <w:highlight w:val="none"/>
              </w:rPr>
              <w:t>序号</w:t>
            </w:r>
          </w:p>
        </w:tc>
        <w:tc>
          <w:tcPr>
            <w:tcW w:w="5114" w:type="dxa"/>
            <w:vAlign w:val="center"/>
          </w:tcPr>
          <w:p>
            <w:pPr>
              <w:widowControl/>
              <w:jc w:val="center"/>
              <w:rPr>
                <w:rFonts w:asciiTheme="minorEastAsia" w:eastAsiaTheme="minorEastAsia" w:hAnsiTheme="minorEastAsia" w:cstheme="minorEastAsia"/>
                <w:b/>
                <w:color w:val="auto"/>
                <w:szCs w:val="21"/>
                <w:highlight w:val="none"/>
              </w:rPr>
            </w:pPr>
            <w:r>
              <w:rPr>
                <w:rFonts w:asciiTheme="minorEastAsia" w:eastAsiaTheme="minorEastAsia" w:hAnsiTheme="minorEastAsia" w:cstheme="minorEastAsia" w:hint="eastAsia"/>
                <w:color w:val="auto"/>
                <w:kern w:val="0"/>
                <w:szCs w:val="21"/>
                <w:highlight w:val="none"/>
              </w:rPr>
              <w:t>项目内容</w:t>
            </w:r>
          </w:p>
        </w:tc>
        <w:tc>
          <w:tcPr>
            <w:tcW w:w="1391" w:type="dxa"/>
          </w:tcPr>
          <w:p>
            <w:pPr>
              <w:tabs>
                <w:tab w:val="left" w:pos="720"/>
              </w:tabs>
              <w:jc w:val="center"/>
              <w:rPr>
                <w:rFonts w:asciiTheme="minorEastAsia" w:eastAsiaTheme="minorEastAsia" w:hAnsiTheme="minorEastAsia" w:cstheme="minorEastAsia"/>
                <w:b/>
                <w:color w:val="auto"/>
                <w:szCs w:val="21"/>
                <w:highlight w:val="none"/>
              </w:rPr>
            </w:pPr>
            <w:r>
              <w:rPr>
                <w:rFonts w:asciiTheme="minorEastAsia" w:eastAsiaTheme="minorEastAsia" w:hAnsiTheme="minorEastAsia" w:cstheme="minorEastAsia" w:hint="eastAsia"/>
                <w:color w:val="auto"/>
                <w:kern w:val="0"/>
                <w:szCs w:val="21"/>
                <w:highlight w:val="none"/>
              </w:rPr>
              <w:t>单价（万元）</w:t>
            </w:r>
          </w:p>
        </w:tc>
        <w:tc>
          <w:tcPr>
            <w:tcW w:w="1314" w:type="dxa"/>
          </w:tcPr>
          <w:p>
            <w:pPr>
              <w:tabs>
                <w:tab w:val="left" w:pos="720"/>
              </w:tabs>
              <w:jc w:val="center"/>
              <w:rPr>
                <w:rFonts w:asciiTheme="minorEastAsia" w:eastAsiaTheme="minorEastAsia" w:hAnsiTheme="minorEastAsia" w:cstheme="minorEastAsia"/>
                <w:b/>
                <w:color w:val="auto"/>
                <w:szCs w:val="21"/>
                <w:highlight w:val="none"/>
              </w:rPr>
            </w:pPr>
            <w:r>
              <w:rPr>
                <w:rFonts w:asciiTheme="minorEastAsia" w:eastAsiaTheme="minorEastAsia" w:hAnsiTheme="minorEastAsia" w:cstheme="minorEastAsia" w:hint="eastAsia"/>
                <w:color w:val="auto"/>
                <w:kern w:val="0"/>
                <w:szCs w:val="21"/>
                <w:highlight w:val="none"/>
              </w:rPr>
              <w:t>合价（万元）</w:t>
            </w:r>
          </w:p>
        </w:tc>
      </w:tr>
      <w:tr>
        <w:tblPrEx>
          <w:tblW w:w="8529" w:type="dxa"/>
          <w:tblInd w:w="0" w:type="dxa"/>
          <w:tblLayout w:type="fixed"/>
          <w:tblCellMar>
            <w:top w:w="0" w:type="dxa"/>
            <w:left w:w="108" w:type="dxa"/>
            <w:bottom w:w="0" w:type="dxa"/>
            <w:right w:w="108" w:type="dxa"/>
          </w:tblCellMar>
        </w:tblPrEx>
        <w:tc>
          <w:tcPr>
            <w:tcW w:w="710" w:type="dxa"/>
            <w:vAlign w:val="center"/>
          </w:tcPr>
          <w:p>
            <w:pPr>
              <w:widowControl/>
              <w:jc w:val="center"/>
              <w:rPr>
                <w:rFonts w:asciiTheme="minorEastAsia" w:eastAsiaTheme="minorEastAsia" w:hAnsiTheme="minorEastAsia" w:cstheme="minorEastAsia"/>
                <w:b/>
                <w:color w:val="auto"/>
                <w:szCs w:val="21"/>
                <w:highlight w:val="none"/>
              </w:rPr>
            </w:pPr>
            <w:r>
              <w:rPr>
                <w:rFonts w:asciiTheme="minorEastAsia" w:eastAsiaTheme="minorEastAsia" w:hAnsiTheme="minorEastAsia" w:cstheme="minorEastAsia" w:hint="eastAsia"/>
                <w:color w:val="auto"/>
                <w:kern w:val="0"/>
                <w:szCs w:val="21"/>
                <w:highlight w:val="none"/>
              </w:rPr>
              <w:t>1</w:t>
            </w:r>
          </w:p>
        </w:tc>
        <w:tc>
          <w:tcPr>
            <w:tcW w:w="5114" w:type="dxa"/>
          </w:tcPr>
          <w:p>
            <w:pPr>
              <w:tabs>
                <w:tab w:val="left" w:pos="720"/>
              </w:tabs>
              <w:rPr>
                <w:rFonts w:asciiTheme="minorEastAsia" w:eastAsiaTheme="minorEastAsia" w:hAnsiTheme="minorEastAsia" w:cstheme="minorEastAsia"/>
                <w:b/>
                <w:color w:val="auto"/>
                <w:szCs w:val="21"/>
                <w:highlight w:val="none"/>
              </w:rPr>
            </w:pPr>
          </w:p>
        </w:tc>
        <w:tc>
          <w:tcPr>
            <w:tcW w:w="1391" w:type="dxa"/>
          </w:tcPr>
          <w:p>
            <w:pPr>
              <w:tabs>
                <w:tab w:val="left" w:pos="720"/>
              </w:tabs>
              <w:rPr>
                <w:rFonts w:asciiTheme="minorEastAsia" w:eastAsiaTheme="minorEastAsia" w:hAnsiTheme="minorEastAsia" w:cstheme="minorEastAsia"/>
                <w:b/>
                <w:color w:val="auto"/>
                <w:szCs w:val="21"/>
                <w:highlight w:val="none"/>
              </w:rPr>
            </w:pPr>
          </w:p>
        </w:tc>
        <w:tc>
          <w:tcPr>
            <w:tcW w:w="1314" w:type="dxa"/>
          </w:tcPr>
          <w:p>
            <w:pPr>
              <w:tabs>
                <w:tab w:val="left" w:pos="720"/>
              </w:tabs>
              <w:rPr>
                <w:rFonts w:asciiTheme="minorEastAsia" w:eastAsiaTheme="minorEastAsia" w:hAnsiTheme="minorEastAsia" w:cstheme="minorEastAsia"/>
                <w:b/>
                <w:color w:val="auto"/>
                <w:szCs w:val="21"/>
                <w:highlight w:val="none"/>
              </w:rPr>
            </w:pPr>
          </w:p>
        </w:tc>
      </w:tr>
      <w:tr>
        <w:tblPrEx>
          <w:tblW w:w="8529" w:type="dxa"/>
          <w:tblInd w:w="0" w:type="dxa"/>
          <w:tblLayout w:type="fixed"/>
          <w:tblCellMar>
            <w:top w:w="0" w:type="dxa"/>
            <w:left w:w="108" w:type="dxa"/>
            <w:bottom w:w="0" w:type="dxa"/>
            <w:right w:w="108" w:type="dxa"/>
          </w:tblCellMar>
        </w:tblPrEx>
        <w:tc>
          <w:tcPr>
            <w:tcW w:w="710" w:type="dxa"/>
            <w:vAlign w:val="center"/>
          </w:tcPr>
          <w:p>
            <w:pPr>
              <w:widowControl/>
              <w:jc w:val="center"/>
              <w:rPr>
                <w:rFonts w:asciiTheme="minorEastAsia" w:eastAsiaTheme="minorEastAsia" w:hAnsiTheme="minorEastAsia" w:cstheme="minorEastAsia"/>
                <w:color w:val="auto"/>
                <w:kern w:val="0"/>
                <w:szCs w:val="21"/>
                <w:highlight w:val="none"/>
              </w:rPr>
            </w:pPr>
            <w:r>
              <w:rPr>
                <w:rFonts w:asciiTheme="minorEastAsia" w:eastAsiaTheme="minorEastAsia" w:hAnsiTheme="minorEastAsia" w:cstheme="minorEastAsia" w:hint="eastAsia"/>
                <w:color w:val="auto"/>
                <w:kern w:val="0"/>
                <w:szCs w:val="21"/>
                <w:highlight w:val="none"/>
              </w:rPr>
              <w:t>2</w:t>
            </w:r>
          </w:p>
        </w:tc>
        <w:tc>
          <w:tcPr>
            <w:tcW w:w="5114" w:type="dxa"/>
          </w:tcPr>
          <w:p>
            <w:pPr>
              <w:tabs>
                <w:tab w:val="left" w:pos="720"/>
              </w:tabs>
              <w:rPr>
                <w:rFonts w:asciiTheme="minorEastAsia" w:eastAsiaTheme="minorEastAsia" w:hAnsiTheme="minorEastAsia" w:cstheme="minorEastAsia"/>
                <w:color w:val="auto"/>
                <w:kern w:val="0"/>
                <w:szCs w:val="21"/>
                <w:highlight w:val="none"/>
              </w:rPr>
            </w:pPr>
          </w:p>
        </w:tc>
        <w:tc>
          <w:tcPr>
            <w:tcW w:w="1391" w:type="dxa"/>
          </w:tcPr>
          <w:p>
            <w:pPr>
              <w:tabs>
                <w:tab w:val="left" w:pos="720"/>
              </w:tabs>
              <w:rPr>
                <w:rFonts w:asciiTheme="minorEastAsia" w:eastAsiaTheme="minorEastAsia" w:hAnsiTheme="minorEastAsia" w:cstheme="minorEastAsia"/>
                <w:b/>
                <w:color w:val="auto"/>
                <w:szCs w:val="21"/>
                <w:highlight w:val="none"/>
              </w:rPr>
            </w:pPr>
          </w:p>
        </w:tc>
        <w:tc>
          <w:tcPr>
            <w:tcW w:w="1314" w:type="dxa"/>
          </w:tcPr>
          <w:p>
            <w:pPr>
              <w:tabs>
                <w:tab w:val="left" w:pos="720"/>
              </w:tabs>
              <w:rPr>
                <w:rFonts w:asciiTheme="minorEastAsia" w:eastAsiaTheme="minorEastAsia" w:hAnsiTheme="minorEastAsia" w:cstheme="minorEastAsia"/>
                <w:b/>
                <w:color w:val="auto"/>
                <w:szCs w:val="21"/>
                <w:highlight w:val="none"/>
              </w:rPr>
            </w:pPr>
          </w:p>
        </w:tc>
      </w:tr>
      <w:tr>
        <w:tblPrEx>
          <w:tblW w:w="8529" w:type="dxa"/>
          <w:tblInd w:w="0" w:type="dxa"/>
          <w:tblLayout w:type="fixed"/>
          <w:tblCellMar>
            <w:top w:w="0" w:type="dxa"/>
            <w:left w:w="108" w:type="dxa"/>
            <w:bottom w:w="0" w:type="dxa"/>
            <w:right w:w="108" w:type="dxa"/>
          </w:tblCellMar>
        </w:tblPrEx>
        <w:tc>
          <w:tcPr>
            <w:tcW w:w="710" w:type="dxa"/>
            <w:vAlign w:val="center"/>
          </w:tcPr>
          <w:p>
            <w:pPr>
              <w:widowControl/>
              <w:jc w:val="center"/>
              <w:rPr>
                <w:rFonts w:asciiTheme="minorEastAsia" w:eastAsiaTheme="minorEastAsia" w:hAnsiTheme="minorEastAsia" w:cstheme="minorEastAsia"/>
                <w:color w:val="auto"/>
                <w:kern w:val="0"/>
                <w:szCs w:val="21"/>
                <w:highlight w:val="none"/>
              </w:rPr>
            </w:pPr>
            <w:r>
              <w:rPr>
                <w:rFonts w:asciiTheme="minorEastAsia" w:eastAsiaTheme="minorEastAsia" w:hAnsiTheme="minorEastAsia" w:cstheme="minorEastAsia" w:hint="eastAsia"/>
                <w:color w:val="auto"/>
                <w:kern w:val="0"/>
                <w:szCs w:val="21"/>
                <w:highlight w:val="none"/>
              </w:rPr>
              <w:t>3</w:t>
            </w:r>
          </w:p>
        </w:tc>
        <w:tc>
          <w:tcPr>
            <w:tcW w:w="5114" w:type="dxa"/>
          </w:tcPr>
          <w:p>
            <w:pPr>
              <w:tabs>
                <w:tab w:val="left" w:pos="720"/>
              </w:tabs>
              <w:rPr>
                <w:rFonts w:asciiTheme="minorEastAsia" w:eastAsiaTheme="minorEastAsia" w:hAnsiTheme="minorEastAsia" w:cstheme="minorEastAsia"/>
                <w:color w:val="auto"/>
                <w:kern w:val="0"/>
                <w:szCs w:val="21"/>
                <w:highlight w:val="none"/>
              </w:rPr>
            </w:pPr>
          </w:p>
        </w:tc>
        <w:tc>
          <w:tcPr>
            <w:tcW w:w="1391" w:type="dxa"/>
          </w:tcPr>
          <w:p>
            <w:pPr>
              <w:tabs>
                <w:tab w:val="left" w:pos="720"/>
              </w:tabs>
              <w:rPr>
                <w:rFonts w:asciiTheme="minorEastAsia" w:eastAsiaTheme="minorEastAsia" w:hAnsiTheme="minorEastAsia" w:cstheme="minorEastAsia"/>
                <w:b/>
                <w:color w:val="auto"/>
                <w:szCs w:val="21"/>
                <w:highlight w:val="none"/>
              </w:rPr>
            </w:pPr>
          </w:p>
        </w:tc>
        <w:tc>
          <w:tcPr>
            <w:tcW w:w="1314" w:type="dxa"/>
          </w:tcPr>
          <w:p>
            <w:pPr>
              <w:tabs>
                <w:tab w:val="left" w:pos="720"/>
              </w:tabs>
              <w:rPr>
                <w:rFonts w:asciiTheme="minorEastAsia" w:eastAsiaTheme="minorEastAsia" w:hAnsiTheme="minorEastAsia" w:cstheme="minorEastAsia"/>
                <w:b/>
                <w:color w:val="auto"/>
                <w:szCs w:val="21"/>
                <w:highlight w:val="none"/>
              </w:rPr>
            </w:pPr>
          </w:p>
        </w:tc>
      </w:tr>
      <w:tr>
        <w:tblPrEx>
          <w:tblW w:w="8529" w:type="dxa"/>
          <w:tblInd w:w="0" w:type="dxa"/>
          <w:tblLayout w:type="fixed"/>
          <w:tblCellMar>
            <w:top w:w="0" w:type="dxa"/>
            <w:left w:w="108" w:type="dxa"/>
            <w:bottom w:w="0" w:type="dxa"/>
            <w:right w:w="108" w:type="dxa"/>
          </w:tblCellMar>
        </w:tblPrEx>
        <w:tc>
          <w:tcPr>
            <w:tcW w:w="710" w:type="dxa"/>
            <w:vAlign w:val="center"/>
          </w:tcPr>
          <w:p>
            <w:pPr>
              <w:widowControl/>
              <w:jc w:val="center"/>
              <w:rPr>
                <w:rFonts w:asciiTheme="minorEastAsia" w:eastAsiaTheme="minorEastAsia" w:hAnsiTheme="minorEastAsia" w:cstheme="minorEastAsia"/>
                <w:color w:val="auto"/>
                <w:kern w:val="0"/>
                <w:szCs w:val="21"/>
                <w:highlight w:val="none"/>
              </w:rPr>
            </w:pPr>
            <w:r>
              <w:rPr>
                <w:rFonts w:asciiTheme="minorEastAsia" w:eastAsiaTheme="minorEastAsia" w:hAnsiTheme="minorEastAsia" w:cstheme="minorEastAsia" w:hint="eastAsia"/>
                <w:color w:val="auto"/>
                <w:kern w:val="0"/>
                <w:szCs w:val="21"/>
                <w:highlight w:val="none"/>
              </w:rPr>
              <w:t>4</w:t>
            </w:r>
          </w:p>
        </w:tc>
        <w:tc>
          <w:tcPr>
            <w:tcW w:w="5114" w:type="dxa"/>
          </w:tcPr>
          <w:p>
            <w:pPr>
              <w:tabs>
                <w:tab w:val="left" w:pos="720"/>
              </w:tabs>
              <w:rPr>
                <w:rFonts w:asciiTheme="minorEastAsia" w:eastAsiaTheme="minorEastAsia" w:hAnsiTheme="minorEastAsia" w:cstheme="minorEastAsia"/>
                <w:color w:val="auto"/>
                <w:kern w:val="0"/>
                <w:szCs w:val="21"/>
                <w:highlight w:val="none"/>
              </w:rPr>
            </w:pPr>
          </w:p>
        </w:tc>
        <w:tc>
          <w:tcPr>
            <w:tcW w:w="1391" w:type="dxa"/>
          </w:tcPr>
          <w:p>
            <w:pPr>
              <w:tabs>
                <w:tab w:val="left" w:pos="720"/>
              </w:tabs>
              <w:rPr>
                <w:rFonts w:asciiTheme="minorEastAsia" w:eastAsiaTheme="minorEastAsia" w:hAnsiTheme="minorEastAsia" w:cstheme="minorEastAsia"/>
                <w:b/>
                <w:color w:val="auto"/>
                <w:szCs w:val="21"/>
                <w:highlight w:val="none"/>
              </w:rPr>
            </w:pPr>
          </w:p>
        </w:tc>
        <w:tc>
          <w:tcPr>
            <w:tcW w:w="1314" w:type="dxa"/>
          </w:tcPr>
          <w:p>
            <w:pPr>
              <w:tabs>
                <w:tab w:val="left" w:pos="720"/>
              </w:tabs>
              <w:rPr>
                <w:rFonts w:asciiTheme="minorEastAsia" w:eastAsiaTheme="minorEastAsia" w:hAnsiTheme="minorEastAsia" w:cstheme="minorEastAsia"/>
                <w:b/>
                <w:color w:val="auto"/>
                <w:szCs w:val="21"/>
                <w:highlight w:val="none"/>
              </w:rPr>
            </w:pPr>
          </w:p>
        </w:tc>
      </w:tr>
      <w:tr>
        <w:tblPrEx>
          <w:tblW w:w="8529" w:type="dxa"/>
          <w:tblInd w:w="0" w:type="dxa"/>
          <w:tblLayout w:type="fixed"/>
          <w:tblCellMar>
            <w:top w:w="0" w:type="dxa"/>
            <w:left w:w="108" w:type="dxa"/>
            <w:bottom w:w="0" w:type="dxa"/>
            <w:right w:w="108" w:type="dxa"/>
          </w:tblCellMar>
        </w:tblPrEx>
        <w:tc>
          <w:tcPr>
            <w:tcW w:w="710" w:type="dxa"/>
            <w:vAlign w:val="center"/>
          </w:tcPr>
          <w:p>
            <w:pPr>
              <w:widowControl/>
              <w:jc w:val="center"/>
              <w:rPr>
                <w:rFonts w:asciiTheme="minorEastAsia" w:eastAsiaTheme="minorEastAsia" w:hAnsiTheme="minorEastAsia" w:cstheme="minorEastAsia"/>
                <w:color w:val="auto"/>
                <w:kern w:val="0"/>
                <w:szCs w:val="21"/>
                <w:highlight w:val="none"/>
              </w:rPr>
            </w:pPr>
            <w:r>
              <w:rPr>
                <w:rFonts w:asciiTheme="minorEastAsia" w:eastAsiaTheme="minorEastAsia" w:hAnsiTheme="minorEastAsia" w:cstheme="minorEastAsia"/>
                <w:color w:val="auto"/>
                <w:kern w:val="0"/>
                <w:szCs w:val="21"/>
                <w:highlight w:val="none"/>
              </w:rPr>
              <w:t>5</w:t>
            </w:r>
          </w:p>
        </w:tc>
        <w:tc>
          <w:tcPr>
            <w:tcW w:w="5114" w:type="dxa"/>
          </w:tcPr>
          <w:p>
            <w:pPr>
              <w:tabs>
                <w:tab w:val="left" w:pos="720"/>
              </w:tabs>
              <w:rPr>
                <w:rFonts w:asciiTheme="minorEastAsia" w:eastAsiaTheme="minorEastAsia" w:hAnsiTheme="minorEastAsia" w:cstheme="minorEastAsia"/>
                <w:color w:val="auto"/>
                <w:kern w:val="0"/>
                <w:szCs w:val="21"/>
                <w:highlight w:val="none"/>
              </w:rPr>
            </w:pPr>
          </w:p>
        </w:tc>
        <w:tc>
          <w:tcPr>
            <w:tcW w:w="1391" w:type="dxa"/>
          </w:tcPr>
          <w:p>
            <w:pPr>
              <w:tabs>
                <w:tab w:val="left" w:pos="720"/>
              </w:tabs>
              <w:rPr>
                <w:rFonts w:asciiTheme="minorEastAsia" w:eastAsiaTheme="minorEastAsia" w:hAnsiTheme="minorEastAsia" w:cstheme="minorEastAsia"/>
                <w:b/>
                <w:color w:val="auto"/>
                <w:szCs w:val="21"/>
                <w:highlight w:val="none"/>
              </w:rPr>
            </w:pPr>
          </w:p>
        </w:tc>
        <w:tc>
          <w:tcPr>
            <w:tcW w:w="1314" w:type="dxa"/>
          </w:tcPr>
          <w:p>
            <w:pPr>
              <w:tabs>
                <w:tab w:val="left" w:pos="720"/>
              </w:tabs>
              <w:rPr>
                <w:rFonts w:asciiTheme="minorEastAsia" w:eastAsiaTheme="minorEastAsia" w:hAnsiTheme="minorEastAsia" w:cstheme="minorEastAsia"/>
                <w:b/>
                <w:color w:val="auto"/>
                <w:szCs w:val="21"/>
                <w:highlight w:val="none"/>
              </w:rPr>
            </w:pPr>
          </w:p>
        </w:tc>
      </w:tr>
      <w:tr>
        <w:tblPrEx>
          <w:tblW w:w="8529" w:type="dxa"/>
          <w:tblInd w:w="0" w:type="dxa"/>
          <w:tblLayout w:type="fixed"/>
          <w:tblCellMar>
            <w:top w:w="0" w:type="dxa"/>
            <w:left w:w="108" w:type="dxa"/>
            <w:bottom w:w="0" w:type="dxa"/>
            <w:right w:w="108" w:type="dxa"/>
          </w:tblCellMar>
        </w:tblPrEx>
        <w:tc>
          <w:tcPr>
            <w:tcW w:w="710" w:type="dxa"/>
            <w:vAlign w:val="center"/>
          </w:tcPr>
          <w:p>
            <w:pPr>
              <w:widowControl/>
              <w:jc w:val="center"/>
              <w:rPr>
                <w:rFonts w:asciiTheme="minorEastAsia" w:eastAsiaTheme="minorEastAsia" w:hAnsiTheme="minorEastAsia" w:cstheme="minorEastAsia"/>
                <w:color w:val="auto"/>
                <w:kern w:val="0"/>
                <w:szCs w:val="21"/>
                <w:highlight w:val="none"/>
              </w:rPr>
            </w:pPr>
            <w:r>
              <w:rPr>
                <w:rFonts w:asciiTheme="minorEastAsia" w:eastAsiaTheme="minorEastAsia" w:hAnsiTheme="minorEastAsia" w:cstheme="minorEastAsia" w:hint="eastAsia"/>
                <w:color w:val="auto"/>
                <w:kern w:val="0"/>
                <w:szCs w:val="21"/>
                <w:highlight w:val="none"/>
              </w:rPr>
              <w:t>6</w:t>
            </w:r>
          </w:p>
        </w:tc>
        <w:tc>
          <w:tcPr>
            <w:tcW w:w="5114" w:type="dxa"/>
          </w:tcPr>
          <w:p>
            <w:pPr>
              <w:tabs>
                <w:tab w:val="left" w:pos="720"/>
              </w:tabs>
              <w:rPr>
                <w:rFonts w:asciiTheme="minorEastAsia" w:eastAsiaTheme="minorEastAsia" w:hAnsiTheme="minorEastAsia" w:cstheme="minorEastAsia"/>
                <w:color w:val="auto"/>
                <w:kern w:val="0"/>
                <w:szCs w:val="21"/>
                <w:highlight w:val="none"/>
              </w:rPr>
            </w:pPr>
          </w:p>
        </w:tc>
        <w:tc>
          <w:tcPr>
            <w:tcW w:w="1391" w:type="dxa"/>
          </w:tcPr>
          <w:p>
            <w:pPr>
              <w:tabs>
                <w:tab w:val="left" w:pos="720"/>
              </w:tabs>
              <w:rPr>
                <w:rFonts w:asciiTheme="minorEastAsia" w:eastAsiaTheme="minorEastAsia" w:hAnsiTheme="minorEastAsia" w:cstheme="minorEastAsia"/>
                <w:b/>
                <w:color w:val="auto"/>
                <w:szCs w:val="21"/>
                <w:highlight w:val="none"/>
              </w:rPr>
            </w:pPr>
          </w:p>
        </w:tc>
        <w:tc>
          <w:tcPr>
            <w:tcW w:w="1314" w:type="dxa"/>
          </w:tcPr>
          <w:p>
            <w:pPr>
              <w:tabs>
                <w:tab w:val="left" w:pos="720"/>
              </w:tabs>
              <w:rPr>
                <w:rFonts w:asciiTheme="minorEastAsia" w:eastAsiaTheme="minorEastAsia" w:hAnsiTheme="minorEastAsia" w:cstheme="minorEastAsia"/>
                <w:b/>
                <w:color w:val="auto"/>
                <w:szCs w:val="21"/>
                <w:highlight w:val="none"/>
              </w:rPr>
            </w:pPr>
          </w:p>
        </w:tc>
      </w:tr>
      <w:tr>
        <w:tblPrEx>
          <w:tblW w:w="8529" w:type="dxa"/>
          <w:tblInd w:w="0" w:type="dxa"/>
          <w:tblLayout w:type="fixed"/>
          <w:tblCellMar>
            <w:top w:w="0" w:type="dxa"/>
            <w:left w:w="108" w:type="dxa"/>
            <w:bottom w:w="0" w:type="dxa"/>
            <w:right w:w="108" w:type="dxa"/>
          </w:tblCellMar>
        </w:tblPrEx>
        <w:tc>
          <w:tcPr>
            <w:tcW w:w="710" w:type="dxa"/>
            <w:vAlign w:val="center"/>
          </w:tcPr>
          <w:p>
            <w:pPr>
              <w:widowControl/>
              <w:jc w:val="center"/>
              <w:rPr>
                <w:rFonts w:asciiTheme="minorEastAsia" w:eastAsiaTheme="minorEastAsia" w:hAnsiTheme="minorEastAsia" w:cstheme="minorEastAsia"/>
                <w:color w:val="auto"/>
                <w:kern w:val="0"/>
                <w:szCs w:val="21"/>
                <w:highlight w:val="none"/>
              </w:rPr>
            </w:pPr>
            <w:r>
              <w:rPr>
                <w:rFonts w:asciiTheme="minorEastAsia" w:eastAsiaTheme="minorEastAsia" w:hAnsiTheme="minorEastAsia" w:cstheme="minorEastAsia" w:hint="eastAsia"/>
                <w:color w:val="auto"/>
                <w:kern w:val="0"/>
                <w:szCs w:val="21"/>
                <w:highlight w:val="none"/>
              </w:rPr>
              <w:t>7</w:t>
            </w:r>
          </w:p>
        </w:tc>
        <w:tc>
          <w:tcPr>
            <w:tcW w:w="5114" w:type="dxa"/>
          </w:tcPr>
          <w:p>
            <w:pPr>
              <w:tabs>
                <w:tab w:val="left" w:pos="720"/>
              </w:tabs>
              <w:rPr>
                <w:rFonts w:asciiTheme="minorEastAsia" w:eastAsiaTheme="minorEastAsia" w:hAnsiTheme="minorEastAsia" w:cstheme="minorEastAsia"/>
                <w:color w:val="auto"/>
                <w:kern w:val="0"/>
                <w:szCs w:val="21"/>
                <w:highlight w:val="none"/>
              </w:rPr>
            </w:pPr>
          </w:p>
        </w:tc>
        <w:tc>
          <w:tcPr>
            <w:tcW w:w="1391" w:type="dxa"/>
          </w:tcPr>
          <w:p>
            <w:pPr>
              <w:tabs>
                <w:tab w:val="left" w:pos="720"/>
              </w:tabs>
              <w:rPr>
                <w:rFonts w:asciiTheme="minorEastAsia" w:eastAsiaTheme="minorEastAsia" w:hAnsiTheme="minorEastAsia" w:cstheme="minorEastAsia"/>
                <w:b/>
                <w:color w:val="auto"/>
                <w:szCs w:val="21"/>
                <w:highlight w:val="none"/>
              </w:rPr>
            </w:pPr>
          </w:p>
        </w:tc>
        <w:tc>
          <w:tcPr>
            <w:tcW w:w="1314" w:type="dxa"/>
          </w:tcPr>
          <w:p>
            <w:pPr>
              <w:tabs>
                <w:tab w:val="left" w:pos="720"/>
              </w:tabs>
              <w:rPr>
                <w:rFonts w:asciiTheme="minorEastAsia" w:eastAsiaTheme="minorEastAsia" w:hAnsiTheme="minorEastAsia" w:cstheme="minorEastAsia"/>
                <w:b/>
                <w:color w:val="auto"/>
                <w:szCs w:val="21"/>
                <w:highlight w:val="none"/>
              </w:rPr>
            </w:pPr>
          </w:p>
        </w:tc>
      </w:tr>
      <w:tr>
        <w:tblPrEx>
          <w:tblW w:w="8529" w:type="dxa"/>
          <w:tblInd w:w="0" w:type="dxa"/>
          <w:tblLayout w:type="fixed"/>
          <w:tblCellMar>
            <w:top w:w="0" w:type="dxa"/>
            <w:left w:w="108" w:type="dxa"/>
            <w:bottom w:w="0" w:type="dxa"/>
            <w:right w:w="108" w:type="dxa"/>
          </w:tblCellMar>
        </w:tblPrEx>
        <w:tc>
          <w:tcPr>
            <w:tcW w:w="710" w:type="dxa"/>
            <w:vAlign w:val="center"/>
          </w:tcPr>
          <w:p>
            <w:pPr>
              <w:widowControl/>
              <w:jc w:val="center"/>
              <w:rPr>
                <w:rFonts w:asciiTheme="minorEastAsia" w:eastAsiaTheme="minorEastAsia" w:hAnsiTheme="minorEastAsia" w:cstheme="minorEastAsia" w:hint="eastAsia"/>
                <w:color w:val="auto"/>
                <w:kern w:val="0"/>
                <w:szCs w:val="21"/>
                <w:highlight w:val="none"/>
                <w:lang w:eastAsia="zh-CN"/>
              </w:rPr>
            </w:pPr>
            <w:r>
              <w:rPr>
                <w:rFonts w:asciiTheme="minorEastAsia" w:eastAsiaTheme="minorEastAsia" w:hAnsiTheme="minorEastAsia" w:cstheme="minorEastAsia" w:hint="eastAsia"/>
                <w:color w:val="auto"/>
                <w:kern w:val="0"/>
                <w:szCs w:val="21"/>
                <w:highlight w:val="none"/>
                <w:lang w:val="en-US" w:eastAsia="zh-CN"/>
              </w:rPr>
              <w:t>8</w:t>
            </w:r>
          </w:p>
        </w:tc>
        <w:tc>
          <w:tcPr>
            <w:tcW w:w="5114" w:type="dxa"/>
          </w:tcPr>
          <w:p>
            <w:pPr>
              <w:tabs>
                <w:tab w:val="left" w:pos="720"/>
              </w:tabs>
              <w:rPr>
                <w:rFonts w:asciiTheme="minorEastAsia" w:eastAsiaTheme="minorEastAsia" w:hAnsiTheme="minorEastAsia" w:cstheme="minorEastAsia"/>
                <w:color w:val="auto"/>
                <w:kern w:val="0"/>
                <w:szCs w:val="21"/>
                <w:highlight w:val="none"/>
              </w:rPr>
            </w:pPr>
          </w:p>
        </w:tc>
        <w:tc>
          <w:tcPr>
            <w:tcW w:w="1391" w:type="dxa"/>
          </w:tcPr>
          <w:p>
            <w:pPr>
              <w:tabs>
                <w:tab w:val="left" w:pos="720"/>
              </w:tabs>
              <w:rPr>
                <w:rFonts w:asciiTheme="minorEastAsia" w:eastAsiaTheme="minorEastAsia" w:hAnsiTheme="minorEastAsia" w:cstheme="minorEastAsia"/>
                <w:b/>
                <w:color w:val="auto"/>
                <w:szCs w:val="21"/>
                <w:highlight w:val="none"/>
              </w:rPr>
            </w:pPr>
          </w:p>
        </w:tc>
        <w:tc>
          <w:tcPr>
            <w:tcW w:w="1314" w:type="dxa"/>
          </w:tcPr>
          <w:p>
            <w:pPr>
              <w:tabs>
                <w:tab w:val="left" w:pos="720"/>
              </w:tabs>
              <w:rPr>
                <w:rFonts w:asciiTheme="minorEastAsia" w:eastAsiaTheme="minorEastAsia" w:hAnsiTheme="minorEastAsia" w:cstheme="minorEastAsia"/>
                <w:b/>
                <w:color w:val="auto"/>
                <w:szCs w:val="21"/>
                <w:highlight w:val="none"/>
              </w:rPr>
            </w:pPr>
          </w:p>
        </w:tc>
      </w:tr>
      <w:tr>
        <w:tblPrEx>
          <w:tblW w:w="8529" w:type="dxa"/>
          <w:tblInd w:w="0" w:type="dxa"/>
          <w:tblLayout w:type="fixed"/>
          <w:tblCellMar>
            <w:top w:w="0" w:type="dxa"/>
            <w:left w:w="108" w:type="dxa"/>
            <w:bottom w:w="0" w:type="dxa"/>
            <w:right w:w="108" w:type="dxa"/>
          </w:tblCellMar>
        </w:tblPrEx>
        <w:tc>
          <w:tcPr>
            <w:tcW w:w="8529" w:type="dxa"/>
            <w:gridSpan w:val="4"/>
          </w:tcPr>
          <w:p>
            <w:pPr>
              <w:tabs>
                <w:tab w:val="left" w:pos="720"/>
              </w:tabs>
              <w:rPr>
                <w:rFonts w:asciiTheme="minorEastAsia" w:eastAsiaTheme="minorEastAsia" w:hAnsiTheme="minorEastAsia" w:cstheme="minorEastAsia"/>
                <w:b/>
                <w:color w:val="auto"/>
                <w:szCs w:val="21"/>
                <w:highlight w:val="none"/>
              </w:rPr>
            </w:pPr>
            <w:r>
              <w:rPr>
                <w:rFonts w:asciiTheme="minorEastAsia" w:eastAsiaTheme="minorEastAsia" w:hAnsiTheme="minorEastAsia" w:cstheme="minorEastAsia" w:hint="eastAsia"/>
                <w:b/>
                <w:color w:val="auto"/>
                <w:szCs w:val="21"/>
                <w:highlight w:val="none"/>
              </w:rPr>
              <w:t>合计（万元）</w:t>
            </w:r>
          </w:p>
        </w:tc>
      </w:tr>
    </w:tbl>
    <w:p>
      <w:pPr>
        <w:tabs>
          <w:tab w:val="left" w:pos="720"/>
        </w:tabs>
        <w:jc w:val="center"/>
        <w:rPr>
          <w:b/>
          <w:color w:val="auto"/>
          <w:sz w:val="24"/>
          <w:highlight w:val="none"/>
        </w:rPr>
      </w:pPr>
      <w:r>
        <w:rPr>
          <w:rFonts w:hint="eastAsia"/>
          <w:b/>
          <w:color w:val="auto"/>
          <w:sz w:val="24"/>
          <w:highlight w:val="none"/>
        </w:rPr>
        <w:t>（二）</w:t>
      </w:r>
      <w:bookmarkStart w:id="31" w:name="_Hlk72073235"/>
      <w:r>
        <w:rPr>
          <w:rFonts w:hint="eastAsia"/>
          <w:b/>
          <w:color w:val="auto"/>
          <w:sz w:val="24"/>
          <w:highlight w:val="none"/>
        </w:rPr>
        <w:t>投标人认为需要涉及的其他内容报价清单</w:t>
      </w:r>
      <w:bookmarkEnd w:id="31"/>
    </w:p>
    <w:p>
      <w:pPr>
        <w:rPr>
          <w:color w:val="auto"/>
          <w:highlight w:val="none"/>
        </w:rPr>
      </w:pPr>
    </w:p>
    <w:p>
      <w:pPr>
        <w:ind w:firstLine="630" w:firstLineChars="300"/>
        <w:rPr>
          <w:rFonts w:ascii="宋体" w:hAnsi="宋体"/>
          <w:color w:val="auto"/>
          <w:highlight w:val="none"/>
        </w:rPr>
      </w:pPr>
      <w:r>
        <w:rPr>
          <w:color w:val="auto"/>
          <w:highlight w:val="none"/>
        </w:rPr>
        <w:t xml:space="preserve">  </w:t>
      </w:r>
      <w:r>
        <w:rPr>
          <w:rFonts w:ascii="宋体" w:hAnsi="宋体" w:hint="eastAsia"/>
          <w:color w:val="auto"/>
          <w:highlight w:val="none"/>
        </w:rPr>
        <w:t>………………（根据项目具体情况增加与商务部分评审相关的节点）</w:t>
      </w:r>
    </w:p>
    <w:p>
      <w:pPr>
        <w:ind w:firstLine="630" w:firstLineChars="300"/>
        <w:rPr>
          <w:rFonts w:ascii="宋体" w:hAnsi="宋体"/>
          <w:color w:val="auto"/>
          <w:highlight w:val="none"/>
        </w:rPr>
      </w:pPr>
    </w:p>
    <w:p>
      <w:pPr>
        <w:jc w:val="center"/>
        <w:rPr>
          <w:rFonts w:ascii="微软雅黑" w:eastAsia="微软雅黑" w:hAnsi="微软雅黑" w:cs="微软雅黑"/>
          <w:b/>
          <w:color w:val="auto"/>
          <w:sz w:val="24"/>
          <w:highlight w:val="none"/>
        </w:rPr>
      </w:pPr>
      <w:r>
        <w:rPr>
          <w:rFonts w:ascii="微软雅黑" w:eastAsia="微软雅黑" w:hAnsi="微软雅黑" w:cs="微软雅黑" w:hint="eastAsia"/>
          <w:b/>
          <w:color w:val="auto"/>
          <w:sz w:val="24"/>
          <w:highlight w:val="none"/>
        </w:rPr>
        <w:t>（信息公开部分的内容到此为止！往下为信息不公开部分。）</w:t>
      </w:r>
    </w:p>
    <w:p>
      <w:pPr>
        <w:rPr>
          <w:rFonts w:asciiTheme="majorEastAsia" w:eastAsiaTheme="majorEastAsia" w:hAnsiTheme="majorEastAsia" w:cstheme="majorEastAsia"/>
          <w:b/>
          <w:color w:val="auto"/>
          <w:sz w:val="30"/>
          <w:szCs w:val="30"/>
          <w:highlight w:val="none"/>
        </w:rPr>
      </w:pPr>
      <w:r>
        <w:rPr>
          <w:rFonts w:asciiTheme="majorEastAsia" w:eastAsiaTheme="majorEastAsia" w:hAnsiTheme="majorEastAsia" w:cstheme="majorEastAsia" w:hint="eastAsia"/>
          <w:b/>
          <w:color w:val="auto"/>
          <w:sz w:val="30"/>
          <w:szCs w:val="30"/>
          <w:highlight w:val="none"/>
        </w:rPr>
        <w:br w:type="page"/>
      </w:r>
    </w:p>
    <w:p>
      <w:pPr>
        <w:spacing w:line="0" w:lineRule="atLeast"/>
        <w:outlineLvl w:val="1"/>
        <w:rPr>
          <w:rFonts w:ascii="微软雅黑" w:eastAsia="微软雅黑" w:hAnsi="微软雅黑" w:cs="微软雅黑"/>
          <w:b/>
          <w:color w:val="auto"/>
          <w:sz w:val="28"/>
          <w:szCs w:val="28"/>
          <w:highlight w:val="none"/>
        </w:rPr>
      </w:pPr>
      <w:r>
        <w:rPr>
          <w:rFonts w:ascii="微软雅黑" w:eastAsia="微软雅黑" w:hAnsi="微软雅黑" w:cs="微软雅黑" w:hint="eastAsia"/>
          <w:b/>
          <w:color w:val="auto"/>
          <w:sz w:val="28"/>
          <w:szCs w:val="28"/>
          <w:highlight w:val="none"/>
        </w:rPr>
        <w:t>投标文件附件（非信息公开部分）：</w:t>
      </w:r>
    </w:p>
    <w:p>
      <w:pPr>
        <w:rPr>
          <w:rFonts w:asciiTheme="majorEastAsia" w:eastAsiaTheme="majorEastAsia" w:hAnsiTheme="majorEastAsia" w:cstheme="majorEastAsia"/>
          <w:b/>
          <w:color w:val="auto"/>
          <w:sz w:val="30"/>
          <w:szCs w:val="30"/>
          <w:highlight w:val="none"/>
        </w:rPr>
      </w:pPr>
    </w:p>
    <w:p>
      <w:pPr>
        <w:pStyle w:val="Heading3"/>
        <w:keepNext w:val="0"/>
        <w:keepLines w:val="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一、法定代表人（负责人）资格证明书</w:t>
      </w:r>
    </w:p>
    <w:p>
      <w:pPr>
        <w:spacing w:line="4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同志，现任我单位</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职务，为法定代表人（负责人），特此证明。</w:t>
      </w:r>
    </w:p>
    <w:p>
      <w:pPr>
        <w:spacing w:line="4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说明：1、法定代表人为企业事业单位、国家机关、社会团体的主要负责人。</w:t>
      </w:r>
    </w:p>
    <w:p>
      <w:pPr>
        <w:spacing w:line="48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2、内容必须填写真实、清楚，涂改无效，不得转让、买卖。</w:t>
      </w:r>
    </w:p>
    <w:p>
      <w:pPr>
        <w:spacing w:line="480" w:lineRule="exact"/>
        <w:rPr>
          <w:rFonts w:asciiTheme="majorEastAsia" w:eastAsiaTheme="majorEastAsia" w:hAnsiTheme="majorEastAsia" w:cstheme="majorEastAsia"/>
          <w:b/>
          <w:color w:val="auto"/>
          <w:szCs w:val="21"/>
          <w:highlight w:val="none"/>
        </w:rPr>
      </w:pPr>
    </w:p>
    <w:p>
      <w:pPr>
        <w:spacing w:line="480" w:lineRule="exact"/>
        <w:ind w:firstLine="420" w:firstLineChars="2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附：要求必须提供法定代表人（负责人）身份证（境外人员无法提供身份证的，可提供护照）扫描件（正反两面）。</w:t>
      </w:r>
    </w:p>
    <w:p>
      <w:pPr>
        <w:spacing w:line="480" w:lineRule="exact"/>
        <w:rPr>
          <w:rFonts w:asciiTheme="majorEastAsia" w:eastAsiaTheme="majorEastAsia" w:hAnsiTheme="majorEastAsia" w:cstheme="majorEastAsia"/>
          <w:b/>
          <w:color w:val="auto"/>
          <w:sz w:val="30"/>
          <w:szCs w:val="30"/>
          <w:highlight w:val="none"/>
        </w:rPr>
      </w:pPr>
    </w:p>
    <w:p>
      <w:pPr>
        <w:pStyle w:val="Heading3"/>
        <w:keepNext w:val="0"/>
        <w:keepLines w:val="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二、投标文件签署授权委托书</w:t>
      </w:r>
    </w:p>
    <w:p>
      <w:pPr>
        <w:spacing w:line="4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本授权委托书声明：我</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（姓名）系</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（投标供应商名称）的法定代表人（负责人），现授权委托</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（姓名）为我单位签署本项目已递交的投标文件的法定代表人的授权委托代理人，代理人全权代表我所签署的本项目已递交的投标文件内容我均承认。</w:t>
      </w:r>
    </w:p>
    <w:p>
      <w:pPr>
        <w:pStyle w:val="NormalIndent"/>
        <w:spacing w:line="48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代理人无转委托权，特此委托。</w:t>
      </w:r>
    </w:p>
    <w:p>
      <w:pPr>
        <w:pStyle w:val="NormalIndent"/>
        <w:spacing w:line="480" w:lineRule="exact"/>
        <w:rPr>
          <w:rFonts w:asciiTheme="majorEastAsia" w:eastAsiaTheme="majorEastAsia" w:hAnsiTheme="majorEastAsia" w:cstheme="majorEastAsia"/>
          <w:color w:val="auto"/>
          <w:szCs w:val="21"/>
          <w:highlight w:val="none"/>
        </w:rPr>
      </w:pPr>
    </w:p>
    <w:p>
      <w:pPr>
        <w:spacing w:line="480" w:lineRule="exact"/>
        <w:ind w:firstLine="420" w:firstLineChars="200"/>
        <w:rPr>
          <w:rFonts w:asciiTheme="majorEastAsia" w:eastAsiaTheme="majorEastAsia" w:hAnsiTheme="majorEastAsia" w:cstheme="majorEastAsia"/>
          <w:color w:val="auto"/>
          <w:szCs w:val="21"/>
          <w:highlight w:val="none"/>
          <w:u w:val="single"/>
        </w:rPr>
      </w:pPr>
      <w:r>
        <w:rPr>
          <w:rFonts w:asciiTheme="majorEastAsia" w:eastAsiaTheme="majorEastAsia" w:hAnsiTheme="majorEastAsia" w:cstheme="majorEastAsia" w:hint="eastAsia"/>
          <w:color w:val="auto"/>
          <w:szCs w:val="21"/>
          <w:highlight w:val="none"/>
        </w:rPr>
        <w:t>代理人：</w:t>
      </w:r>
      <w:r>
        <w:rPr>
          <w:rFonts w:asciiTheme="majorEastAsia" w:eastAsiaTheme="majorEastAsia" w:hAnsiTheme="majorEastAsia" w:cstheme="majorEastAsia" w:hint="eastAsia"/>
          <w:color w:val="auto"/>
          <w:szCs w:val="21"/>
          <w:highlight w:val="none"/>
          <w:u w:val="single"/>
        </w:rPr>
        <w:t xml:space="preserve">                          </w:t>
      </w:r>
    </w:p>
    <w:p>
      <w:pPr>
        <w:spacing w:line="4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联系电话：</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手机：</w:t>
      </w:r>
      <w:r>
        <w:rPr>
          <w:rFonts w:asciiTheme="majorEastAsia" w:eastAsiaTheme="majorEastAsia" w:hAnsiTheme="majorEastAsia" w:cstheme="majorEastAsia" w:hint="eastAsia"/>
          <w:color w:val="auto"/>
          <w:szCs w:val="21"/>
          <w:highlight w:val="none"/>
          <w:u w:val="single"/>
        </w:rPr>
        <w:t xml:space="preserve">                </w:t>
      </w:r>
    </w:p>
    <w:p>
      <w:pPr>
        <w:spacing w:line="480" w:lineRule="exact"/>
        <w:ind w:firstLine="420" w:firstLineChars="200"/>
        <w:rPr>
          <w:rFonts w:asciiTheme="majorEastAsia" w:eastAsiaTheme="majorEastAsia" w:hAnsiTheme="majorEastAsia" w:cstheme="majorEastAsia"/>
          <w:color w:val="auto"/>
          <w:szCs w:val="21"/>
          <w:highlight w:val="none"/>
          <w:u w:val="single"/>
        </w:rPr>
      </w:pPr>
      <w:r>
        <w:rPr>
          <w:rFonts w:asciiTheme="majorEastAsia" w:eastAsiaTheme="majorEastAsia" w:hAnsiTheme="majorEastAsia" w:cstheme="majorEastAsia" w:hint="eastAsia"/>
          <w:color w:val="auto"/>
          <w:szCs w:val="21"/>
          <w:highlight w:val="none"/>
        </w:rPr>
        <w:t>身份证号码：</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职务：</w:t>
      </w:r>
      <w:r>
        <w:rPr>
          <w:rFonts w:asciiTheme="majorEastAsia" w:eastAsiaTheme="majorEastAsia" w:hAnsiTheme="majorEastAsia" w:cstheme="majorEastAsia" w:hint="eastAsia"/>
          <w:color w:val="auto"/>
          <w:szCs w:val="21"/>
          <w:highlight w:val="none"/>
          <w:u w:val="single"/>
        </w:rPr>
        <w:t xml:space="preserve">                </w:t>
      </w:r>
    </w:p>
    <w:p>
      <w:pPr>
        <w:spacing w:line="4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授权委托日期：</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年</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月 </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日</w:t>
      </w:r>
    </w:p>
    <w:p>
      <w:pPr>
        <w:spacing w:line="480" w:lineRule="exact"/>
        <w:ind w:left="540" w:leftChars="257"/>
        <w:rPr>
          <w:rFonts w:asciiTheme="majorEastAsia" w:eastAsiaTheme="majorEastAsia" w:hAnsiTheme="majorEastAsia" w:cstheme="majorEastAsia"/>
          <w:color w:val="auto"/>
          <w:szCs w:val="21"/>
          <w:highlight w:val="none"/>
          <w:u w:val="single"/>
        </w:rPr>
      </w:pPr>
    </w:p>
    <w:p>
      <w:pPr>
        <w:spacing w:line="480" w:lineRule="exact"/>
        <w:ind w:firstLine="420" w:firstLineChars="2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附：要求必须提供代理人身份证（境外人员无法提供身份证的，可提供护照）扫描件（正反两面）。</w:t>
      </w:r>
    </w:p>
    <w:p>
      <w:pPr>
        <w:spacing w:line="360" w:lineRule="auto"/>
        <w:ind w:left="540" w:leftChars="257"/>
        <w:rPr>
          <w:rFonts w:asciiTheme="majorEastAsia" w:eastAsiaTheme="majorEastAsia" w:hAnsiTheme="majorEastAsia" w:cstheme="majorEastAsia"/>
          <w:color w:val="auto"/>
          <w:szCs w:val="21"/>
          <w:highlight w:val="none"/>
          <w:u w:val="single"/>
        </w:rPr>
      </w:pPr>
    </w:p>
    <w:p>
      <w:pP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br w:type="page"/>
      </w:r>
    </w:p>
    <w:p>
      <w:pPr>
        <w:pStyle w:val="Heading3"/>
        <w:keepNext w:val="0"/>
        <w:keepLines w:val="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三、</w:t>
      </w:r>
      <w:r>
        <w:rPr>
          <w:rFonts w:asciiTheme="majorEastAsia" w:eastAsiaTheme="majorEastAsia" w:hAnsiTheme="majorEastAsia" w:cstheme="majorEastAsia" w:hint="eastAsia"/>
          <w:color w:val="auto"/>
          <w:szCs w:val="21"/>
          <w:highlight w:val="none"/>
        </w:rPr>
        <w:t>实质性响应条款偏离表</w:t>
      </w:r>
    </w:p>
    <w:tbl>
      <w:tblPr>
        <w:tblStyle w:val="TableNormal"/>
        <w:tblW w:w="8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62"/>
        <w:gridCol w:w="2314"/>
        <w:gridCol w:w="2516"/>
        <w:gridCol w:w="1579"/>
        <w:gridCol w:w="1260"/>
      </w:tblGrid>
      <w:tr>
        <w:tblPrEx>
          <w:tblW w:w="8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67"/>
          <w:jc w:val="center"/>
        </w:trPr>
        <w:tc>
          <w:tcPr>
            <w:tcW w:w="762" w:type="dxa"/>
            <w:vAlign w:val="center"/>
          </w:tcPr>
          <w:p>
            <w:pPr>
              <w:adjustRightInd w:val="0"/>
              <w:snapToGrid w:val="0"/>
              <w:jc w:val="center"/>
              <w:rPr>
                <w:rFonts w:asciiTheme="majorEastAsia" w:eastAsiaTheme="majorEastAsia" w:hAnsiTheme="majorEastAsia" w:cstheme="majorEastAsia"/>
                <w:b/>
                <w:bCs/>
                <w:color w:val="auto"/>
                <w:kern w:val="0"/>
                <w:szCs w:val="21"/>
                <w:highlight w:val="none"/>
              </w:rPr>
            </w:pPr>
            <w:r>
              <w:rPr>
                <w:rFonts w:asciiTheme="majorEastAsia" w:eastAsiaTheme="majorEastAsia" w:hAnsiTheme="majorEastAsia" w:cstheme="majorEastAsia" w:hint="eastAsia"/>
                <w:b/>
                <w:bCs/>
                <w:color w:val="auto"/>
                <w:kern w:val="0"/>
                <w:szCs w:val="21"/>
                <w:highlight w:val="none"/>
              </w:rPr>
              <w:t>序号</w:t>
            </w:r>
          </w:p>
        </w:tc>
        <w:tc>
          <w:tcPr>
            <w:tcW w:w="2314" w:type="dxa"/>
            <w:vAlign w:val="center"/>
          </w:tcPr>
          <w:p>
            <w:pPr>
              <w:adjustRightInd w:val="0"/>
              <w:snapToGrid w:val="0"/>
              <w:jc w:val="center"/>
              <w:rPr>
                <w:rFonts w:asciiTheme="majorEastAsia" w:eastAsiaTheme="majorEastAsia" w:hAnsiTheme="majorEastAsia" w:cstheme="majorEastAsia"/>
                <w:b/>
                <w:bCs/>
                <w:color w:val="auto"/>
                <w:kern w:val="0"/>
                <w:szCs w:val="21"/>
                <w:highlight w:val="none"/>
              </w:rPr>
            </w:pPr>
            <w:r>
              <w:rPr>
                <w:rFonts w:asciiTheme="majorEastAsia" w:eastAsiaTheme="majorEastAsia" w:hAnsiTheme="majorEastAsia" w:cstheme="majorEastAsia" w:hint="eastAsia"/>
                <w:b/>
                <w:bCs/>
                <w:color w:val="auto"/>
                <w:kern w:val="0"/>
                <w:szCs w:val="21"/>
                <w:highlight w:val="none"/>
              </w:rPr>
              <w:t>采购人要求内容</w:t>
            </w:r>
          </w:p>
        </w:tc>
        <w:tc>
          <w:tcPr>
            <w:tcW w:w="2516" w:type="dxa"/>
            <w:vAlign w:val="center"/>
          </w:tcPr>
          <w:p>
            <w:pPr>
              <w:adjustRightInd w:val="0"/>
              <w:snapToGrid w:val="0"/>
              <w:jc w:val="center"/>
              <w:rPr>
                <w:rFonts w:asciiTheme="majorEastAsia" w:eastAsiaTheme="majorEastAsia" w:hAnsiTheme="majorEastAsia" w:cstheme="majorEastAsia"/>
                <w:b/>
                <w:bCs/>
                <w:color w:val="auto"/>
                <w:kern w:val="0"/>
                <w:szCs w:val="21"/>
                <w:highlight w:val="none"/>
              </w:rPr>
            </w:pPr>
            <w:r>
              <w:rPr>
                <w:rFonts w:asciiTheme="majorEastAsia" w:eastAsiaTheme="majorEastAsia" w:hAnsiTheme="majorEastAsia" w:cstheme="majorEastAsia" w:hint="eastAsia"/>
                <w:b/>
                <w:bCs/>
                <w:color w:val="auto"/>
                <w:kern w:val="0"/>
                <w:szCs w:val="21"/>
                <w:highlight w:val="none"/>
              </w:rPr>
              <w:t>投标响应情况</w:t>
            </w:r>
          </w:p>
        </w:tc>
        <w:tc>
          <w:tcPr>
            <w:tcW w:w="1579" w:type="dxa"/>
            <w:vAlign w:val="center"/>
          </w:tcPr>
          <w:p>
            <w:pPr>
              <w:adjustRightInd w:val="0"/>
              <w:snapToGrid w:val="0"/>
              <w:jc w:val="center"/>
              <w:rPr>
                <w:rFonts w:asciiTheme="majorEastAsia" w:eastAsiaTheme="majorEastAsia" w:hAnsiTheme="majorEastAsia" w:cstheme="majorEastAsia"/>
                <w:b/>
                <w:bCs/>
                <w:color w:val="auto"/>
                <w:kern w:val="0"/>
                <w:szCs w:val="21"/>
                <w:highlight w:val="none"/>
              </w:rPr>
            </w:pPr>
            <w:r>
              <w:rPr>
                <w:rFonts w:asciiTheme="majorEastAsia" w:eastAsiaTheme="majorEastAsia" w:hAnsiTheme="majorEastAsia" w:cstheme="majorEastAsia" w:hint="eastAsia"/>
                <w:b/>
                <w:bCs/>
                <w:color w:val="auto"/>
                <w:kern w:val="0"/>
                <w:szCs w:val="21"/>
                <w:highlight w:val="none"/>
              </w:rPr>
              <w:t>偏离情况</w:t>
            </w:r>
          </w:p>
        </w:tc>
        <w:tc>
          <w:tcPr>
            <w:tcW w:w="1260" w:type="dxa"/>
            <w:vAlign w:val="center"/>
          </w:tcPr>
          <w:p>
            <w:pPr>
              <w:adjustRightInd w:val="0"/>
              <w:snapToGrid w:val="0"/>
              <w:jc w:val="center"/>
              <w:rPr>
                <w:rFonts w:asciiTheme="majorEastAsia" w:eastAsiaTheme="majorEastAsia" w:hAnsiTheme="majorEastAsia" w:cstheme="majorEastAsia"/>
                <w:b/>
                <w:bCs/>
                <w:color w:val="auto"/>
                <w:kern w:val="0"/>
                <w:szCs w:val="21"/>
                <w:highlight w:val="none"/>
              </w:rPr>
            </w:pPr>
            <w:r>
              <w:rPr>
                <w:rFonts w:asciiTheme="majorEastAsia" w:eastAsiaTheme="majorEastAsia" w:hAnsiTheme="majorEastAsia" w:cstheme="majorEastAsia" w:hint="eastAsia"/>
                <w:b/>
                <w:bCs/>
                <w:color w:val="auto"/>
                <w:kern w:val="0"/>
                <w:szCs w:val="21"/>
                <w:highlight w:val="none"/>
              </w:rPr>
              <w:t>说明</w:t>
            </w:r>
          </w:p>
        </w:tc>
      </w:tr>
      <w:tr>
        <w:tblPrEx>
          <w:tblW w:w="8431" w:type="dxa"/>
          <w:jc w:val="center"/>
          <w:tblLayout w:type="fixed"/>
          <w:tblCellMar>
            <w:top w:w="0" w:type="dxa"/>
            <w:left w:w="108" w:type="dxa"/>
            <w:bottom w:w="0" w:type="dxa"/>
            <w:right w:w="108" w:type="dxa"/>
          </w:tblCellMar>
        </w:tblPrEx>
        <w:trPr>
          <w:trHeight w:val="567"/>
          <w:jc w:val="center"/>
        </w:trPr>
        <w:tc>
          <w:tcPr>
            <w:tcW w:w="762" w:type="dxa"/>
            <w:vAlign w:val="center"/>
          </w:tcPr>
          <w:p>
            <w:pPr>
              <w:adjustRightInd w:val="0"/>
              <w:snapToGrid w:val="0"/>
              <w:jc w:val="center"/>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1</w:t>
            </w:r>
          </w:p>
        </w:tc>
        <w:tc>
          <w:tcPr>
            <w:tcW w:w="2314" w:type="dxa"/>
            <w:vAlign w:val="center"/>
          </w:tcPr>
          <w:p>
            <w:pPr>
              <w:adjustRightInd w:val="0"/>
              <w:snapToGrid w:val="0"/>
              <w:jc w:val="center"/>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完全满足本项目服务期限的要求。</w:t>
            </w:r>
          </w:p>
        </w:tc>
        <w:tc>
          <w:tcPr>
            <w:tcW w:w="2516" w:type="dxa"/>
            <w:vAlign w:val="center"/>
          </w:tcPr>
          <w:p>
            <w:pPr>
              <w:adjustRightInd w:val="0"/>
              <w:snapToGrid w:val="0"/>
              <w:jc w:val="center"/>
              <w:rPr>
                <w:rFonts w:asciiTheme="majorEastAsia" w:eastAsiaTheme="majorEastAsia" w:hAnsiTheme="majorEastAsia" w:cstheme="majorEastAsia"/>
                <w:color w:val="auto"/>
                <w:kern w:val="0"/>
                <w:szCs w:val="21"/>
                <w:highlight w:val="none"/>
              </w:rPr>
            </w:pPr>
          </w:p>
        </w:tc>
        <w:tc>
          <w:tcPr>
            <w:tcW w:w="1579" w:type="dxa"/>
            <w:vAlign w:val="center"/>
          </w:tcPr>
          <w:p>
            <w:pPr>
              <w:adjustRightInd w:val="0"/>
              <w:snapToGrid w:val="0"/>
              <w:jc w:val="center"/>
              <w:rPr>
                <w:rFonts w:asciiTheme="majorEastAsia" w:eastAsiaTheme="majorEastAsia" w:hAnsiTheme="majorEastAsia" w:cstheme="majorEastAsia"/>
                <w:color w:val="auto"/>
                <w:kern w:val="0"/>
                <w:szCs w:val="21"/>
                <w:highlight w:val="none"/>
              </w:rPr>
            </w:pPr>
          </w:p>
        </w:tc>
        <w:tc>
          <w:tcPr>
            <w:tcW w:w="1260" w:type="dxa"/>
            <w:vAlign w:val="center"/>
          </w:tcPr>
          <w:p>
            <w:pPr>
              <w:adjustRightInd w:val="0"/>
              <w:snapToGrid w:val="0"/>
              <w:jc w:val="center"/>
              <w:rPr>
                <w:rFonts w:asciiTheme="majorEastAsia" w:eastAsiaTheme="majorEastAsia" w:hAnsiTheme="majorEastAsia" w:cstheme="majorEastAsia"/>
                <w:color w:val="auto"/>
                <w:kern w:val="0"/>
                <w:szCs w:val="21"/>
                <w:highlight w:val="none"/>
              </w:rPr>
            </w:pPr>
          </w:p>
        </w:tc>
      </w:tr>
    </w:tbl>
    <w:p>
      <w:pPr>
        <w:spacing w:line="480" w:lineRule="exact"/>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注：</w:t>
      </w:r>
    </w:p>
    <w:p>
      <w:pPr>
        <w:spacing w:line="48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 上表所列各项均为不可负偏离条款。</w:t>
      </w:r>
    </w:p>
    <w:p>
      <w:pPr>
        <w:spacing w:line="48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2.“投标响应”一栏应当详细填写投标人自身响应情况，而不能不合理照搬照抄招实质性条款具体内容。</w:t>
      </w:r>
    </w:p>
    <w:p>
      <w:pPr>
        <w:spacing w:line="48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spacing w:line="48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4.评审委员会有权对投标响应情况作出判断（作出评审结论）。</w:t>
      </w:r>
    </w:p>
    <w:p>
      <w:pPr>
        <w:spacing w:line="48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5.实质性响应条款“投标响应情况”与投标文件其它内容冲突的，以实质性响应条款“投标响应情况”为准。</w:t>
      </w:r>
    </w:p>
    <w:p>
      <w:pPr>
        <w:rPr>
          <w:rFonts w:asciiTheme="majorEastAsia" w:eastAsiaTheme="majorEastAsia" w:hAnsiTheme="majorEastAsia" w:cstheme="majorEastAsia"/>
          <w:color w:val="auto"/>
          <w:highlight w:val="none"/>
        </w:rPr>
      </w:pPr>
    </w:p>
    <w:p>
      <w:pP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br w:type="page"/>
      </w:r>
    </w:p>
    <w:p>
      <w:pPr>
        <w:pStyle w:val="Heading3"/>
        <w:keepNext w:val="0"/>
        <w:keepLines w:val="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四、技术部分内容</w:t>
      </w:r>
    </w:p>
    <w:p>
      <w:pPr>
        <w:pStyle w:val="NormalIndent"/>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包括但不限于以下内容（格式自定）：</w:t>
      </w:r>
    </w:p>
    <w:p>
      <w:pPr>
        <w:pStyle w:val="Heading4"/>
        <w:keepNext w:val="0"/>
        <w:keepLines w:val="0"/>
        <w:spacing w:before="0" w:after="0" w:line="440" w:lineRule="exact"/>
        <w:ind w:firstLine="420" w:firstLineChars="200"/>
        <w:jc w:val="left"/>
        <w:rPr>
          <w:rFonts w:asciiTheme="majorEastAsia" w:eastAsiaTheme="majorEastAsia" w:hAnsiTheme="majorEastAsia" w:cstheme="major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（一）实施方案</w:t>
      </w:r>
    </w:p>
    <w:p>
      <w:pPr>
        <w:pStyle w:val="Heading4"/>
        <w:keepNext w:val="0"/>
        <w:keepLines w:val="0"/>
        <w:spacing w:before="0" w:after="0" w:line="440" w:lineRule="exact"/>
        <w:ind w:firstLine="420" w:firstLineChars="200"/>
        <w:jc w:val="left"/>
        <w:rPr>
          <w:rFonts w:asciiTheme="majorEastAsia" w:eastAsiaTheme="majorEastAsia" w:hAnsiTheme="majorEastAsia" w:cstheme="major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（二）项目重点难点分析、应对措施及相关的合理化建议</w:t>
      </w:r>
    </w:p>
    <w:p>
      <w:pPr>
        <w:pStyle w:val="Heading4"/>
        <w:keepNext w:val="0"/>
        <w:keepLines w:val="0"/>
        <w:spacing w:before="0" w:after="0" w:line="440" w:lineRule="exact"/>
        <w:ind w:firstLine="420" w:firstLineChars="200"/>
        <w:jc w:val="left"/>
        <w:rPr>
          <w:rFonts w:asciiTheme="majorEastAsia" w:eastAsiaTheme="majorEastAsia" w:hAnsiTheme="majorEastAsia" w:cstheme="major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（三）质量（完成时间、安全、环保）保障措施及方案</w:t>
      </w:r>
    </w:p>
    <w:p>
      <w:pPr>
        <w:pStyle w:val="Heading4"/>
        <w:keepNext w:val="0"/>
        <w:keepLines w:val="0"/>
        <w:spacing w:before="0" w:after="0" w:line="440" w:lineRule="exact"/>
        <w:ind w:firstLine="420" w:firstLineChars="200"/>
        <w:jc w:val="left"/>
        <w:rPr>
          <w:rFonts w:asciiTheme="majorEastAsia" w:eastAsiaTheme="majorEastAsia" w:hAnsiTheme="majorEastAsia" w:cstheme="major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（四）项目完成（服务期满）后的服务承诺</w:t>
      </w:r>
    </w:p>
    <w:p>
      <w:pPr>
        <w:pStyle w:val="Heading4"/>
        <w:keepNext w:val="0"/>
        <w:keepLines w:val="0"/>
        <w:spacing w:before="0" w:after="0" w:line="440" w:lineRule="exact"/>
        <w:ind w:firstLine="420" w:firstLineChars="200"/>
        <w:jc w:val="left"/>
        <w:rPr>
          <w:rFonts w:asciiTheme="majorEastAsia" w:eastAsiaTheme="majorEastAsia" w:hAnsiTheme="majorEastAsia" w:cstheme="major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（五）违约承诺</w:t>
      </w:r>
    </w:p>
    <w:p>
      <w:pPr>
        <w:rPr>
          <w:rFonts w:asciiTheme="majorEastAsia" w:eastAsiaTheme="majorEastAsia" w:hAnsiTheme="majorEastAsia" w:cstheme="majorEastAsia"/>
          <w:color w:val="auto"/>
          <w:highlight w:val="none"/>
        </w:rPr>
      </w:pPr>
    </w:p>
    <w:p>
      <w:pPr>
        <w:pStyle w:val="Heading3"/>
        <w:keepNext w:val="0"/>
        <w:keepLines w:val="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五、商务部分内容</w:t>
      </w:r>
    </w:p>
    <w:p>
      <w:pPr>
        <w:pStyle w:val="NormalIndent"/>
        <w:spacing w:line="42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包括但不限于以下内容（格式自定）：</w:t>
      </w:r>
    </w:p>
    <w:p>
      <w:pPr>
        <w:pStyle w:val="Heading4"/>
        <w:keepNext w:val="0"/>
        <w:keepLines w:val="0"/>
        <w:spacing w:before="0" w:after="0" w:line="440" w:lineRule="exact"/>
        <w:ind w:firstLine="420" w:firstLineChars="200"/>
        <w:jc w:val="left"/>
        <w:rPr>
          <w:rFonts w:asciiTheme="majorEastAsia" w:eastAsiaTheme="majorEastAsia" w:hAnsiTheme="majorEastAsia" w:cstheme="major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（一）投标人通过相关认证情况</w:t>
      </w:r>
    </w:p>
    <w:p>
      <w:pPr>
        <w:pStyle w:val="Heading4"/>
        <w:keepNext w:val="0"/>
        <w:keepLines w:val="0"/>
        <w:spacing w:before="0" w:after="0" w:line="440" w:lineRule="exact"/>
        <w:ind w:firstLine="420" w:firstLineChars="200"/>
        <w:jc w:val="left"/>
        <w:rPr>
          <w:rFonts w:asciiTheme="majorEastAsia" w:eastAsiaTheme="majorEastAsia" w:hAnsiTheme="majorEastAsia" w:cstheme="major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（二）投标人同类项目业绩情况</w:t>
      </w:r>
    </w:p>
    <w:p>
      <w:pPr>
        <w:pStyle w:val="Heading4"/>
        <w:keepNext w:val="0"/>
        <w:keepLines w:val="0"/>
        <w:spacing w:before="0" w:after="0" w:line="440" w:lineRule="exact"/>
        <w:ind w:firstLine="420" w:firstLineChars="200"/>
        <w:jc w:val="left"/>
        <w:rPr>
          <w:rFonts w:asciiTheme="majorEastAsia" w:eastAsiaTheme="majorEastAsia" w:hAnsiTheme="majorEastAsia" w:cstheme="majorEastAsia" w:hint="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（三）投标人网站及微信公众号运营情况</w:t>
      </w:r>
    </w:p>
    <w:p>
      <w:pPr>
        <w:pStyle w:val="Heading4"/>
        <w:keepNext w:val="0"/>
        <w:keepLines w:val="0"/>
        <w:spacing w:before="0" w:after="0" w:line="440" w:lineRule="exact"/>
        <w:ind w:firstLine="420" w:firstLineChars="200"/>
        <w:jc w:val="left"/>
        <w:rPr>
          <w:rFonts w:asciiTheme="majorEastAsia" w:eastAsiaTheme="majorEastAsia" w:hAnsiTheme="majorEastAsia" w:cstheme="major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lang w:eastAsia="zh-CN"/>
        </w:rPr>
        <w:t>（四）</w:t>
      </w:r>
      <w:r>
        <w:rPr>
          <w:rFonts w:asciiTheme="majorEastAsia" w:eastAsiaTheme="majorEastAsia" w:hAnsiTheme="majorEastAsia" w:cstheme="majorEastAsia" w:hint="eastAsia"/>
          <w:b w:val="0"/>
          <w:bCs w:val="0"/>
          <w:color w:val="auto"/>
          <w:sz w:val="21"/>
          <w:szCs w:val="21"/>
          <w:highlight w:val="none"/>
        </w:rPr>
        <w:t>投标人获奖情况</w:t>
      </w:r>
    </w:p>
    <w:p>
      <w:pPr>
        <w:pStyle w:val="Heading4"/>
        <w:keepNext w:val="0"/>
        <w:keepLines w:val="0"/>
        <w:spacing w:before="0" w:after="0" w:line="440" w:lineRule="exact"/>
        <w:ind w:firstLine="420" w:firstLineChars="200"/>
        <w:jc w:val="left"/>
        <w:rPr>
          <w:rFonts w:asciiTheme="majorEastAsia" w:eastAsiaTheme="majorEastAsia" w:hAnsiTheme="majorEastAsia" w:cstheme="major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w:t>
      </w:r>
      <w:r>
        <w:rPr>
          <w:rFonts w:asciiTheme="majorEastAsia" w:eastAsiaTheme="majorEastAsia" w:hAnsiTheme="majorEastAsia" w:cstheme="majorEastAsia" w:hint="eastAsia"/>
          <w:b w:val="0"/>
          <w:bCs w:val="0"/>
          <w:color w:val="auto"/>
          <w:sz w:val="21"/>
          <w:szCs w:val="21"/>
          <w:highlight w:val="none"/>
          <w:lang w:eastAsia="zh-CN"/>
        </w:rPr>
        <w:t>五</w:t>
      </w:r>
      <w:r>
        <w:rPr>
          <w:rFonts w:asciiTheme="majorEastAsia" w:eastAsiaTheme="majorEastAsia" w:hAnsiTheme="majorEastAsia" w:cstheme="majorEastAsia" w:hint="eastAsia"/>
          <w:b w:val="0"/>
          <w:bCs w:val="0"/>
          <w:color w:val="auto"/>
          <w:sz w:val="21"/>
          <w:szCs w:val="21"/>
          <w:highlight w:val="none"/>
        </w:rPr>
        <w:t>）拟安排的项目负责人情况（仅限一人）</w:t>
      </w:r>
    </w:p>
    <w:p>
      <w:pPr>
        <w:pStyle w:val="Heading4"/>
        <w:keepNext w:val="0"/>
        <w:keepLines w:val="0"/>
        <w:spacing w:before="0" w:after="0" w:line="440" w:lineRule="exact"/>
        <w:ind w:firstLine="420" w:firstLineChars="200"/>
        <w:jc w:val="left"/>
        <w:rPr>
          <w:rFonts w:asciiTheme="majorEastAsia" w:eastAsiaTheme="majorEastAsia" w:hAnsiTheme="majorEastAsia" w:cstheme="major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w:t>
      </w:r>
      <w:r>
        <w:rPr>
          <w:rFonts w:asciiTheme="majorEastAsia" w:eastAsiaTheme="majorEastAsia" w:hAnsiTheme="majorEastAsia" w:cstheme="majorEastAsia" w:hint="eastAsia"/>
          <w:b w:val="0"/>
          <w:bCs w:val="0"/>
          <w:color w:val="auto"/>
          <w:sz w:val="21"/>
          <w:szCs w:val="21"/>
          <w:highlight w:val="none"/>
          <w:lang w:eastAsia="zh-CN"/>
        </w:rPr>
        <w:t>六</w:t>
      </w:r>
      <w:r>
        <w:rPr>
          <w:rFonts w:asciiTheme="majorEastAsia" w:eastAsiaTheme="majorEastAsia" w:hAnsiTheme="majorEastAsia" w:cstheme="majorEastAsia" w:hint="eastAsia"/>
          <w:b w:val="0"/>
          <w:bCs w:val="0"/>
          <w:color w:val="auto"/>
          <w:sz w:val="21"/>
          <w:szCs w:val="21"/>
          <w:highlight w:val="none"/>
        </w:rPr>
        <w:t>）拟安排的项目主要团队成员（主要技术人员）情况（项目负责人除外）</w:t>
      </w:r>
    </w:p>
    <w:p>
      <w:pPr>
        <w:pStyle w:val="Heading4"/>
        <w:keepNext w:val="0"/>
        <w:keepLines w:val="0"/>
        <w:spacing w:before="0" w:after="0" w:line="440" w:lineRule="exact"/>
        <w:ind w:firstLine="420" w:firstLineChars="200"/>
        <w:jc w:val="left"/>
        <w:rPr>
          <w:rFonts w:asciiTheme="majorEastAsia" w:eastAsiaTheme="majorEastAsia" w:hAnsiTheme="majorEastAsia" w:cstheme="major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w:t>
      </w:r>
      <w:r>
        <w:rPr>
          <w:rFonts w:asciiTheme="majorEastAsia" w:eastAsiaTheme="majorEastAsia" w:hAnsiTheme="majorEastAsia" w:cstheme="majorEastAsia" w:hint="eastAsia"/>
          <w:b w:val="0"/>
          <w:bCs w:val="0"/>
          <w:color w:val="auto"/>
          <w:sz w:val="21"/>
          <w:szCs w:val="21"/>
          <w:highlight w:val="none"/>
          <w:lang w:eastAsia="zh-CN"/>
        </w:rPr>
        <w:t>七</w:t>
      </w:r>
      <w:r>
        <w:rPr>
          <w:rFonts w:asciiTheme="majorEastAsia" w:eastAsiaTheme="majorEastAsia" w:hAnsiTheme="majorEastAsia" w:cstheme="majorEastAsia" w:hint="eastAsia"/>
          <w:b w:val="0"/>
          <w:bCs w:val="0"/>
          <w:color w:val="auto"/>
          <w:sz w:val="21"/>
          <w:szCs w:val="21"/>
          <w:highlight w:val="none"/>
        </w:rPr>
        <w:t>）环保执行情况</w:t>
      </w:r>
    </w:p>
    <w:p>
      <w:pPr>
        <w:pStyle w:val="Heading4"/>
        <w:keepNext w:val="0"/>
        <w:keepLines w:val="0"/>
        <w:spacing w:before="0" w:after="0" w:line="440" w:lineRule="exact"/>
        <w:ind w:firstLine="420" w:firstLineChars="200"/>
        <w:jc w:val="left"/>
        <w:rPr>
          <w:rFonts w:asciiTheme="majorEastAsia" w:eastAsiaTheme="majorEastAsia" w:hAnsiTheme="majorEastAsia" w:cstheme="major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w:t>
      </w:r>
      <w:r>
        <w:rPr>
          <w:rFonts w:asciiTheme="majorEastAsia" w:eastAsiaTheme="majorEastAsia" w:hAnsiTheme="majorEastAsia" w:cstheme="majorEastAsia" w:hint="eastAsia"/>
          <w:b w:val="0"/>
          <w:bCs w:val="0"/>
          <w:color w:val="auto"/>
          <w:sz w:val="21"/>
          <w:szCs w:val="21"/>
          <w:highlight w:val="none"/>
          <w:lang w:eastAsia="zh-CN"/>
        </w:rPr>
        <w:t>八</w:t>
      </w:r>
      <w:r>
        <w:rPr>
          <w:rFonts w:asciiTheme="majorEastAsia" w:eastAsiaTheme="majorEastAsia" w:hAnsiTheme="majorEastAsia" w:cstheme="majorEastAsia" w:hint="eastAsia"/>
          <w:b w:val="0"/>
          <w:bCs w:val="0"/>
          <w:color w:val="auto"/>
          <w:sz w:val="21"/>
          <w:szCs w:val="21"/>
          <w:highlight w:val="none"/>
        </w:rPr>
        <w:t>）服务网点</w:t>
      </w:r>
    </w:p>
    <w:p>
      <w:pPr>
        <w:pStyle w:val="Heading4"/>
        <w:keepNext w:val="0"/>
        <w:keepLines w:val="0"/>
        <w:spacing w:before="0" w:after="0" w:line="440" w:lineRule="exact"/>
        <w:ind w:firstLine="420" w:firstLineChars="200"/>
        <w:jc w:val="left"/>
        <w:rPr>
          <w:rFonts w:asciiTheme="majorEastAsia" w:eastAsiaTheme="majorEastAsia" w:hAnsiTheme="majorEastAsia" w:cstheme="major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w:t>
      </w:r>
      <w:r>
        <w:rPr>
          <w:rFonts w:asciiTheme="majorEastAsia" w:eastAsiaTheme="majorEastAsia" w:hAnsiTheme="majorEastAsia" w:cstheme="majorEastAsia" w:hint="eastAsia"/>
          <w:b w:val="0"/>
          <w:bCs w:val="0"/>
          <w:color w:val="auto"/>
          <w:sz w:val="21"/>
          <w:szCs w:val="21"/>
          <w:highlight w:val="none"/>
          <w:lang w:eastAsia="zh-CN"/>
        </w:rPr>
        <w:t>九</w:t>
      </w:r>
      <w:r>
        <w:rPr>
          <w:rFonts w:asciiTheme="majorEastAsia" w:eastAsiaTheme="majorEastAsia" w:hAnsiTheme="majorEastAsia" w:cstheme="majorEastAsia" w:hint="eastAsia"/>
          <w:b w:val="0"/>
          <w:bCs w:val="0"/>
          <w:color w:val="auto"/>
          <w:sz w:val="21"/>
          <w:szCs w:val="21"/>
          <w:highlight w:val="none"/>
        </w:rPr>
        <w:t>）其它招标文件要求的内容及投标人认为需要补充的内容</w:t>
      </w:r>
    </w:p>
    <w:p>
      <w:pPr>
        <w:jc w:val="left"/>
        <w:rPr>
          <w:rFonts w:asciiTheme="majorEastAsia" w:eastAsiaTheme="majorEastAsia" w:hAnsiTheme="majorEastAsia" w:cstheme="majorEastAsia"/>
          <w:b/>
          <w:bCs/>
          <w:color w:val="auto"/>
          <w:kern w:val="0"/>
          <w:sz w:val="24"/>
          <w:szCs w:val="20"/>
          <w:highlight w:val="none"/>
        </w:rPr>
      </w:pPr>
    </w:p>
    <w:p>
      <w:pPr>
        <w:rPr>
          <w:rFonts w:ascii="微软雅黑" w:eastAsia="微软雅黑" w:hAnsi="微软雅黑" w:cs="微软雅黑"/>
          <w:color w:val="auto"/>
          <w:sz w:val="32"/>
          <w:szCs w:val="32"/>
          <w:highlight w:val="none"/>
        </w:rPr>
      </w:pPr>
      <w:r>
        <w:rPr>
          <w:rFonts w:ascii="微软雅黑" w:eastAsia="微软雅黑" w:hAnsi="微软雅黑" w:cs="微软雅黑" w:hint="eastAsia"/>
          <w:color w:val="auto"/>
          <w:sz w:val="32"/>
          <w:szCs w:val="32"/>
          <w:highlight w:val="none"/>
        </w:rPr>
        <w:br w:type="page"/>
      </w:r>
    </w:p>
    <w:p>
      <w:pPr>
        <w:pStyle w:val="Heading2"/>
        <w:rPr>
          <w:rFonts w:ascii="微软雅黑" w:eastAsia="微软雅黑" w:hAnsi="微软雅黑" w:cs="微软雅黑"/>
          <w:b/>
          <w:bCs/>
          <w:color w:val="auto"/>
          <w:sz w:val="32"/>
          <w:szCs w:val="32"/>
          <w:highlight w:val="none"/>
        </w:rPr>
      </w:pPr>
      <w:r>
        <w:rPr>
          <w:rFonts w:ascii="微软雅黑" w:eastAsia="微软雅黑" w:hAnsi="微软雅黑" w:cs="微软雅黑" w:hint="eastAsia"/>
          <w:b/>
          <w:bCs/>
          <w:color w:val="auto"/>
          <w:sz w:val="32"/>
          <w:szCs w:val="32"/>
          <w:highlight w:val="none"/>
        </w:rPr>
        <w:t>第四章  合同条款及格式</w:t>
      </w:r>
    </w:p>
    <w:p>
      <w:pPr>
        <w:spacing w:line="39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b/>
          <w:color w:val="auto"/>
          <w:szCs w:val="21"/>
          <w:highlight w:val="none"/>
        </w:rPr>
        <w:t>（仅供参考，项目具体要求以用户需求书为准）</w:t>
      </w:r>
    </w:p>
    <w:p>
      <w:pPr>
        <w:spacing w:line="380" w:lineRule="exact"/>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 xml:space="preserve">甲方：   </w:t>
      </w:r>
    </w:p>
    <w:p>
      <w:pPr>
        <w:spacing w:line="380" w:lineRule="exact"/>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 xml:space="preserve">乙方：                                          </w:t>
      </w:r>
    </w:p>
    <w:p>
      <w:pPr>
        <w:spacing w:line="380" w:lineRule="exact"/>
        <w:rPr>
          <w:rFonts w:asciiTheme="majorEastAsia" w:eastAsiaTheme="majorEastAsia" w:hAnsiTheme="majorEastAsia" w:cstheme="majorEastAsia"/>
          <w:color w:val="auto"/>
          <w:szCs w:val="21"/>
          <w:highlight w:val="none"/>
        </w:rPr>
      </w:pP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根据深圳交易咨询集团有限公司</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号招标项目的投标结果，由</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单位为中标方。按照《中华人民共和国民法典》和《深圳经济特区政府采购条例》，经深圳市</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（以下简称甲方）和</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单位（以下简称乙方）协商，就甲方委托乙方承担</w:t>
      </w:r>
      <w:r>
        <w:rPr>
          <w:rFonts w:asciiTheme="majorEastAsia" w:eastAsiaTheme="majorEastAsia" w:hAnsiTheme="majorEastAsia" w:cstheme="majorEastAsia" w:hint="eastAsia"/>
          <w:b/>
          <w:bCs/>
          <w:snapToGrid w:val="0"/>
          <w:color w:val="auto"/>
          <w:kern w:val="0"/>
          <w:szCs w:val="21"/>
          <w:highlight w:val="none"/>
          <w:u w:val="single"/>
          <w:lang w:val="zh-CN"/>
        </w:rPr>
        <w:t xml:space="preserve">                      服务项目</w:t>
      </w:r>
      <w:r>
        <w:rPr>
          <w:rFonts w:asciiTheme="majorEastAsia" w:eastAsiaTheme="majorEastAsia" w:hAnsiTheme="majorEastAsia" w:cstheme="majorEastAsia" w:hint="eastAsia"/>
          <w:color w:val="auto"/>
          <w:szCs w:val="21"/>
          <w:highlight w:val="none"/>
        </w:rPr>
        <w:t>，达成以下合同条款：</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第一条　项目概况</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项目名称：</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项目内容：</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服务时间：</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合同价款：合同总价为</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元，含一切税、费。</w:t>
      </w:r>
      <w:r>
        <w:rPr>
          <w:rFonts w:asciiTheme="majorEastAsia" w:eastAsiaTheme="majorEastAsia" w:hAnsiTheme="majorEastAsia" w:cstheme="majorEastAsia" w:hint="eastAsia"/>
          <w:color w:val="auto"/>
          <w:highlight w:val="none"/>
        </w:rPr>
        <w:t>本合同总价包括</w:t>
      </w:r>
      <w:r>
        <w:rPr>
          <w:rFonts w:asciiTheme="majorEastAsia" w:eastAsiaTheme="majorEastAsia" w:hAnsiTheme="majorEastAsia" w:cstheme="majorEastAsia" w:hint="eastAsia"/>
          <w:color w:val="auto"/>
          <w:szCs w:val="21"/>
          <w:highlight w:val="none"/>
        </w:rPr>
        <w:t>乙方为实施本项目荷载试验所需的设备仪器费、车辆租赁费、</w:t>
      </w:r>
      <w:r>
        <w:rPr>
          <w:rFonts w:asciiTheme="majorEastAsia" w:eastAsiaTheme="majorEastAsia" w:hAnsiTheme="majorEastAsia" w:cstheme="majorEastAsia" w:hint="eastAsia"/>
          <w:color w:val="auto"/>
          <w:highlight w:val="none"/>
        </w:rPr>
        <w:t>服务和技术费用等，为固定不变价格，且不随通货膨胀的影响而波动。合同总价包括</w:t>
      </w:r>
      <w:r>
        <w:rPr>
          <w:rFonts w:asciiTheme="majorEastAsia" w:eastAsiaTheme="majorEastAsia" w:hAnsiTheme="majorEastAsia" w:cstheme="majorEastAsia" w:hint="eastAsia"/>
          <w:color w:val="auto"/>
          <w:szCs w:val="21"/>
          <w:highlight w:val="none"/>
        </w:rPr>
        <w:t>乙方</w:t>
      </w:r>
      <w:r>
        <w:rPr>
          <w:rFonts w:asciiTheme="majorEastAsia" w:eastAsiaTheme="majorEastAsia" w:hAnsiTheme="majorEastAsia" w:cstheme="majorEastAsia" w:hint="eastAsia"/>
          <w:color w:val="auto"/>
          <w:highlight w:val="none"/>
        </w:rPr>
        <w:t>履行本合同义务所发生的一切费用和支出和以各种方式寄送技术资料到甲方办公室所发生的费用。如发生本合同规定的不可抗力，合同总价可经双方友好协商予以调整。</w:t>
      </w:r>
    </w:p>
    <w:p>
      <w:pPr>
        <w:pStyle w:val="NormalIndent"/>
        <w:spacing w:line="38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支付方式：分期支付。</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第二条  服务范围</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 其他合同未明示的相关工作。</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第三条  时间要求及阶段成果</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1、合同签订</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天内完成项目实施的准备工作，包括工作大纲和试验细则的编制；</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w:t>
      </w:r>
      <w:r>
        <w:rPr>
          <w:rFonts w:asciiTheme="majorEastAsia" w:eastAsiaTheme="majorEastAsia" w:hAnsiTheme="majorEastAsia" w:cstheme="majorEastAsia" w:hint="eastAsia"/>
          <w:color w:val="auto"/>
          <w:szCs w:val="21"/>
          <w:highlight w:val="none"/>
          <w:u w:val="single"/>
        </w:rPr>
        <w:t xml:space="preserve">                    </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w:t>
      </w:r>
      <w:r>
        <w:rPr>
          <w:rFonts w:asciiTheme="majorEastAsia" w:eastAsiaTheme="majorEastAsia" w:hAnsiTheme="majorEastAsia" w:cstheme="majorEastAsia" w:hint="eastAsia"/>
          <w:color w:val="auto"/>
          <w:szCs w:val="21"/>
          <w:highlight w:val="none"/>
          <w:u w:val="single"/>
        </w:rPr>
        <w:t xml:space="preserve">                    </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第四条  咨询服务资料归属</w:t>
      </w:r>
    </w:p>
    <w:p>
      <w:pPr>
        <w:spacing w:line="38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1、所有提交给甲方的咨询服务文件及相关的资料的最后文本，包括为履行技术咨询服务范围所编制的图纸、计划和证明资料等，都属于甲方的财产，</w:t>
      </w:r>
      <w:r>
        <w:rPr>
          <w:rFonts w:asciiTheme="majorEastAsia" w:eastAsiaTheme="majorEastAsia" w:hAnsiTheme="majorEastAsia" w:cstheme="majorEastAsia" w:hint="eastAsia"/>
          <w:color w:val="auto"/>
          <w:szCs w:val="21"/>
          <w:highlight w:val="none"/>
        </w:rPr>
        <w:t>乙</w:t>
      </w:r>
      <w:r>
        <w:rPr>
          <w:rFonts w:asciiTheme="majorEastAsia" w:eastAsiaTheme="majorEastAsia" w:hAnsiTheme="majorEastAsia" w:cstheme="majorEastAsia" w:hint="eastAsia"/>
          <w:color w:val="auto"/>
          <w:highlight w:val="none"/>
        </w:rPr>
        <w:t>方在提交给甲方之前应将上述资料进行整理归类和编制索引。</w:t>
      </w:r>
    </w:p>
    <w:p>
      <w:pPr>
        <w:spacing w:line="38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2、</w:t>
      </w:r>
      <w:r>
        <w:rPr>
          <w:rFonts w:asciiTheme="majorEastAsia" w:eastAsiaTheme="majorEastAsia" w:hAnsiTheme="majorEastAsia" w:cstheme="majorEastAsia" w:hint="eastAsia"/>
          <w:color w:val="auto"/>
          <w:szCs w:val="21"/>
          <w:highlight w:val="none"/>
        </w:rPr>
        <w:t>乙</w:t>
      </w:r>
      <w:r>
        <w:rPr>
          <w:rFonts w:asciiTheme="majorEastAsia" w:eastAsiaTheme="majorEastAsia" w:hAnsiTheme="majorEastAsia" w:cstheme="majorEastAsia" w:hint="eastAsia"/>
          <w:color w:val="auto"/>
          <w:highlight w:val="none"/>
        </w:rPr>
        <w:t>方未经甲方的书面同意，不得将上述资料用于与本咨询服务项目之外的任何项目。</w:t>
      </w:r>
    </w:p>
    <w:p>
      <w:pPr>
        <w:spacing w:line="38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3、合同履行完毕，未经甲方的书面同意，</w:t>
      </w:r>
      <w:r>
        <w:rPr>
          <w:rFonts w:asciiTheme="majorEastAsia" w:eastAsiaTheme="majorEastAsia" w:hAnsiTheme="majorEastAsia" w:cstheme="majorEastAsia" w:hint="eastAsia"/>
          <w:color w:val="auto"/>
          <w:szCs w:val="21"/>
          <w:highlight w:val="none"/>
        </w:rPr>
        <w:t>乙</w:t>
      </w:r>
      <w:r>
        <w:rPr>
          <w:rFonts w:asciiTheme="majorEastAsia" w:eastAsiaTheme="majorEastAsia" w:hAnsiTheme="majorEastAsia" w:cstheme="majorEastAsia" w:hint="eastAsia"/>
          <w:color w:val="auto"/>
          <w:highlight w:val="none"/>
        </w:rPr>
        <w:t>方不得保存在履行合同过程中所获得或接触到的任何</w:t>
      </w:r>
      <w:r>
        <w:rPr>
          <w:rFonts w:asciiTheme="majorEastAsia" w:eastAsiaTheme="majorEastAsia" w:hAnsiTheme="majorEastAsia" w:cstheme="majorEastAsia" w:hint="eastAsia"/>
          <w:color w:val="auto"/>
          <w:szCs w:val="21"/>
          <w:highlight w:val="none"/>
        </w:rPr>
        <w:t>内部数据资料。</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第五条  甲方的义务</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1、负责与本咨询服务项目有关的第三方的协调，提供开展咨询服务工作的外部条件。</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2、向乙方提供与本项目咨询服务工作有关的资料。</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3、负责组织有关专家对项目试验成果评估报告的评审。</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第六条　乙方的义务</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１、应按照</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号招标文件、乙方投标文件要求按期完成本项目咨询服务工作。</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2、负责组织项目的实施，保证项目进度和成桥荷载试验工作质量，并满足交通部交工验收相关标准。</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w:t>
      </w:r>
      <w:r>
        <w:rPr>
          <w:rFonts w:asciiTheme="majorEastAsia" w:eastAsiaTheme="majorEastAsia" w:hAnsiTheme="majorEastAsia" w:cstheme="majorEastAsia" w:hint="eastAsia"/>
          <w:color w:val="auto"/>
          <w:highlight w:val="none"/>
        </w:rPr>
        <w:t>向甲方提交检测资料等各</w:t>
      </w:r>
      <w:r>
        <w:rPr>
          <w:rFonts w:asciiTheme="majorEastAsia" w:eastAsiaTheme="majorEastAsia" w:hAnsiTheme="majorEastAsia" w:cstheme="majorEastAsia" w:hint="eastAsia"/>
          <w:color w:val="auto"/>
          <w:highlight w:val="none"/>
          <w:u w:val="single"/>
        </w:rPr>
        <w:t xml:space="preserve">      </w:t>
      </w:r>
      <w:r>
        <w:rPr>
          <w:rFonts w:asciiTheme="majorEastAsia" w:eastAsiaTheme="majorEastAsia" w:hAnsiTheme="majorEastAsia" w:cstheme="majorEastAsia" w:hint="eastAsia"/>
          <w:color w:val="auto"/>
          <w:highlight w:val="none"/>
        </w:rPr>
        <w:t>套，一套电子版文件。</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4、在履行合同期间或合同规定期限内，不得泄露与本合同规定业务活动有关的保密资料。</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第七条  甲方的权利</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1、有权向乙方询问工作进展情况及相关的内容。</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2、有权阐述对具体问题的意见和建议。</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3、当甲方认定乙方人员不按合同履行其职责，或与第三人串通给甲方造成经济损失的，甲方有权要求更换人员，直至终止合同并要求乙方承担相应的赔偿责任。</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第八条  乙方的权利</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1、乙方在本项目服务过程中，如甲方提供的资料不明确时可向甲方提出书面报告。</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2、乙方在本项目服务过程中，有权对第三方提出与本咨询服务业务有关的问题进行核对或查问。</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3、乙方在本项目服务过程中，有到项目现场勘察的权利。</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第九条  甲方的责任</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1、应当履行本合同约定的义务，如有违反则应当承担违约责任，赔偿给乙方造成的损失。</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2、甲方向乙方提出赔偿要求不能成立时，则应补偿由于该赔偿或其他要求所导致乙方的各种费用的支出。</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第十条  乙方的责任</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1、乙方的责任期即本合同有效期。如因非乙方的责任造成进度的推迟或延误而超过约定的日期，双方应进一步约定相应延长合同有效期。</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2、乙方的责任期内，应当履行本合同中约定的义务，因乙方的单方过失造成的经济损失，应当向甲方进行赔偿。</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3、乙方对甲方或第三方所提出的问题不能及时核对或答复，导致合同不能全部或部分履行，乙方应承担责任。</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4、乙方向甲方提出赔偿要求不能成立时，则应补偿由于该赔偿或其他要求所导致甲方的各种费用的支出。</w:t>
      </w:r>
    </w:p>
    <w:p>
      <w:pPr>
        <w:spacing w:line="380" w:lineRule="exact"/>
        <w:ind w:firstLine="420" w:firstLineChars="200"/>
        <w:rPr>
          <w:rFonts w:asciiTheme="minorEastAsia" w:hAnsiTheme="minorEastAsia"/>
          <w:b/>
          <w:color w:val="auto"/>
          <w:szCs w:val="21"/>
          <w:highlight w:val="none"/>
        </w:rPr>
      </w:pPr>
      <w:r>
        <w:rPr>
          <w:rFonts w:asciiTheme="majorEastAsia" w:eastAsiaTheme="majorEastAsia" w:hAnsiTheme="majorEastAsia" w:cstheme="majorEastAsia" w:hint="eastAsia"/>
          <w:b/>
          <w:bCs/>
          <w:color w:val="auto"/>
          <w:szCs w:val="21"/>
          <w:highlight w:val="none"/>
        </w:rPr>
        <w:t xml:space="preserve">第十一条  </w:t>
      </w:r>
      <w:r>
        <w:rPr>
          <w:rFonts w:asciiTheme="minorEastAsia" w:hAnsiTheme="minorEastAsia" w:hint="eastAsia"/>
          <w:b/>
          <w:color w:val="auto"/>
          <w:szCs w:val="21"/>
          <w:highlight w:val="none"/>
        </w:rPr>
        <w:t>履约保证金</w:t>
      </w:r>
    </w:p>
    <w:p>
      <w:pPr>
        <w:spacing w:line="380" w:lineRule="exact"/>
        <w:ind w:firstLine="420" w:firstLineChars="200"/>
        <w:rPr>
          <w:rFonts w:asciiTheme="minorEastAsia" w:hAnsiTheme="minorEastAsia"/>
          <w:color w:val="auto"/>
          <w:szCs w:val="21"/>
          <w:highlight w:val="none"/>
        </w:rPr>
      </w:pPr>
      <w:r>
        <w:rPr>
          <w:rFonts w:asciiTheme="minorEastAsia" w:hAnsiTheme="minorEastAsia" w:hint="eastAsia"/>
          <w:color w:val="auto"/>
          <w:szCs w:val="21"/>
          <w:highlight w:val="none"/>
        </w:rPr>
        <w:t>1、乙方应在签订本合同之日，向甲方或甲方指定的机构提交履约保证金_________元。</w:t>
      </w:r>
    </w:p>
    <w:p>
      <w:pPr>
        <w:spacing w:line="380" w:lineRule="exact"/>
        <w:ind w:firstLine="420" w:firstLineChars="200"/>
        <w:rPr>
          <w:rFonts w:asciiTheme="minorEastAsia" w:hAnsiTheme="minorEastAsia"/>
          <w:color w:val="auto"/>
          <w:szCs w:val="21"/>
          <w:highlight w:val="none"/>
        </w:rPr>
      </w:pPr>
      <w:r>
        <w:rPr>
          <w:rFonts w:asciiTheme="minorEastAsia" w:hAnsiTheme="minorEastAsia" w:hint="eastAsia"/>
          <w:color w:val="auto"/>
          <w:szCs w:val="21"/>
          <w:highlight w:val="none"/>
        </w:rPr>
        <w:t>2、如乙方未能履行合同规定的义务，甲方有权从履约保证金中取得补偿。</w:t>
      </w:r>
    </w:p>
    <w:p>
      <w:pPr>
        <w:spacing w:line="380" w:lineRule="exact"/>
        <w:ind w:firstLine="420" w:firstLineChars="200"/>
        <w:rPr>
          <w:rFonts w:asciiTheme="minorEastAsia" w:hAnsiTheme="minorEastAsia"/>
          <w:color w:val="auto"/>
          <w:szCs w:val="21"/>
          <w:highlight w:val="none"/>
        </w:rPr>
      </w:pPr>
      <w:r>
        <w:rPr>
          <w:rFonts w:asciiTheme="minorEastAsia" w:hAnsiTheme="minorEastAsia" w:hint="eastAsia"/>
          <w:color w:val="auto"/>
          <w:szCs w:val="21"/>
          <w:highlight w:val="none"/>
        </w:rPr>
        <w:t>3、甲方在乙方履行完毕本合同项下全部义务后______天内无息退还乙方。</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第十二条  人员要求</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1、参加本项目试验的人员必须具有国家和有关部门规定的相应资质。</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 参加本项目的试验人员的配置必须与投标文件中的服务承诺书和试验服务组织实施方案一致。</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3、必须以直属试验人员参与本项目服务，不得使用挂靠队伍。</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第十三条  乙方咨询服务工具要求</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1、乙方应配备中标项目所需的足够数量的仪器、仪表以及工具等设备。用户不需向乙方提供施工工具和仪器、仪表。</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2、乙方在提供服务过程中应自备车辆。</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第十四条  保密要求</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2、乙方在履行合同过程中所获得或接触到的任何内部数据资料，未经甲方同意，不得向第三方透露。</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3、乙方实施项目的一切程序都应符合国家安全、保密的有关规定和标准。</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4、乙方参加项目的有关人员均需同甲方签订保密协议。</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 xml:space="preserve">第十五条  验收     </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1、下列文件的验收分为</w:t>
      </w:r>
      <w:r>
        <w:rPr>
          <w:rFonts w:asciiTheme="majorEastAsia" w:eastAsiaTheme="majorEastAsia" w:hAnsiTheme="majorEastAsia" w:cstheme="majorEastAsia" w:hint="eastAsia"/>
          <w:color w:val="auto"/>
          <w:szCs w:val="21"/>
          <w:highlight w:val="none"/>
          <w:u w:val="single"/>
        </w:rPr>
        <w:t xml:space="preserve">          三</w:t>
      </w:r>
      <w:r>
        <w:rPr>
          <w:rFonts w:asciiTheme="majorEastAsia" w:eastAsiaTheme="majorEastAsia" w:hAnsiTheme="majorEastAsia" w:cstheme="majorEastAsia" w:hint="eastAsia"/>
          <w:color w:val="auto"/>
          <w:szCs w:val="21"/>
          <w:highlight w:val="none"/>
        </w:rPr>
        <w:t>个阶段:</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2、其余文件和工作由用户组织有关技术人员根据国家和行业有关规范、规程、标准和用户需求直接验收。</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3、验收依据为</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号招标文件、乙方投标文件，国家和行业有关规范、规程和标准。</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第十六条  付款方式</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1、合同签订后</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天内，甲方向乙方支付合同总价</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%的款项。</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2、检测完成并提交评估报告后，甲方向乙方支付合同总价</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%的款项。</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3、报告通过专家评审后，甲方向乙方支付合同总价</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%的款项。</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第十七条  争议解决办法</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执行本合同发生的争议，由甲乙双方协商解决。</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第十八条  风险责任</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１、乙方应完全地按照</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号招标文件的要求和乙方投标文件的承诺完成本项目，出于自身财务、技术、人力等原因导致项目失败的，应承担全部责任。</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2、乙方在实施荷载试验过程中应对自身的安全生产负责，若由乙方原因发生的各种事故甲方不承担任何责任。</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第十九条  违约责任</w:t>
      </w:r>
    </w:p>
    <w:p>
      <w:pPr>
        <w:pStyle w:val="BodyTextIndent"/>
        <w:spacing w:line="38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１、因乙方原因，未能按规定时间完成有关工作的，每延误一天，甲方可在支付合同余款中扣除合同价款千分之一。</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2、由于乙方原因造成试验成果质量低劣，不能满足大纲要求时，应继续完善试验工作，其费用由乙方承担。</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3、如乙方提供的咨询服务文件不符合质量要求，必须在甲方提出要求后7天内无条件修改，其费用由乙方承担。</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第二十条  其他</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1、本合同与</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号招标文件、乙方投标文件如有抵触之处，以本合同条款为准。</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2、下列文件均为本合同的组成部分：</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号招标文件、答疑及补充通知；</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（2）投标文件；</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（3）本合同执行中共同签署的补充与修正文件。</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本合同一式</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份，甲、乙方双方各执</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份，具有同等法律效力。本合同自双方法人代表签字（盖章）认可之日起生效。</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本合同未尽事宜，双方友好协商，达成解决方案，经双方签字后，可作为本合同的有效附件。</w:t>
      </w:r>
    </w:p>
    <w:p>
      <w:pPr>
        <w:spacing w:line="380" w:lineRule="exact"/>
        <w:ind w:firstLine="420" w:firstLineChars="200"/>
        <w:rPr>
          <w:rFonts w:asciiTheme="majorEastAsia" w:eastAsiaTheme="majorEastAsia" w:hAnsiTheme="majorEastAsia" w:cstheme="majorEastAsia"/>
          <w:color w:val="auto"/>
          <w:szCs w:val="21"/>
          <w:highlight w:val="none"/>
        </w:rPr>
      </w:pPr>
    </w:p>
    <w:p>
      <w:pPr>
        <w:spacing w:line="380" w:lineRule="exact"/>
        <w:ind w:firstLine="420" w:firstLineChars="200"/>
        <w:rPr>
          <w:rFonts w:asciiTheme="majorEastAsia" w:eastAsiaTheme="majorEastAsia" w:hAnsiTheme="majorEastAsia" w:cstheme="majorEastAsia"/>
          <w:color w:val="auto"/>
          <w:szCs w:val="21"/>
          <w:highlight w:val="none"/>
          <w:u w:val="single"/>
        </w:rPr>
      </w:pPr>
      <w:r>
        <w:rPr>
          <w:rFonts w:asciiTheme="majorEastAsia" w:eastAsiaTheme="majorEastAsia" w:hAnsiTheme="majorEastAsia" w:cstheme="majorEastAsia" w:hint="eastAsia"/>
          <w:color w:val="auto"/>
          <w:szCs w:val="21"/>
          <w:highlight w:val="none"/>
        </w:rPr>
        <w:t>甲方：</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乙方：</w:t>
      </w:r>
      <w:r>
        <w:rPr>
          <w:rFonts w:asciiTheme="majorEastAsia" w:eastAsiaTheme="majorEastAsia" w:hAnsiTheme="majorEastAsia" w:cstheme="majorEastAsia" w:hint="eastAsia"/>
          <w:color w:val="auto"/>
          <w:szCs w:val="21"/>
          <w:highlight w:val="none"/>
          <w:u w:val="single"/>
        </w:rPr>
        <w:t xml:space="preserve">                            </w:t>
      </w:r>
    </w:p>
    <w:p>
      <w:pPr>
        <w:spacing w:line="380" w:lineRule="exact"/>
        <w:ind w:firstLine="1890" w:firstLineChars="9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（签章）                                 （签章）</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地址：                                地址： </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法定代表人：（签章）                   法定代表人：（签章）</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开户行：                              开户行：</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人民币帐号：                          人民币帐号：</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联系人：                              联系人：</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电话：                                电话：</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日期：                                日期：</w:t>
      </w:r>
    </w:p>
    <w:p>
      <w:pPr>
        <w:spacing w:line="0" w:lineRule="atLeas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br w:type="page"/>
      </w:r>
    </w:p>
    <w:p>
      <w:pPr>
        <w:pStyle w:val="Heading2"/>
        <w:rPr>
          <w:rFonts w:ascii="微软雅黑" w:eastAsia="微软雅黑" w:hAnsi="微软雅黑" w:cs="微软雅黑"/>
          <w:b/>
          <w:bCs/>
          <w:color w:val="auto"/>
          <w:sz w:val="32"/>
          <w:szCs w:val="32"/>
          <w:highlight w:val="none"/>
        </w:rPr>
      </w:pPr>
      <w:r>
        <w:rPr>
          <w:rFonts w:ascii="微软雅黑" w:eastAsia="微软雅黑" w:hAnsi="微软雅黑" w:cs="微软雅黑" w:hint="eastAsia"/>
          <w:b/>
          <w:bCs/>
          <w:color w:val="auto"/>
          <w:sz w:val="32"/>
          <w:szCs w:val="32"/>
          <w:highlight w:val="none"/>
        </w:rPr>
        <w:t>第五章  招标代理服务费</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1、中标方在领取中标通知书时向采购代理机构缴纳招标代理服务费。</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2、招标代理服务费以现金、支票或银行汇票形式交付。</w:t>
      </w:r>
    </w:p>
    <w:p>
      <w:pPr>
        <w:spacing w:line="440" w:lineRule="exact"/>
        <w:ind w:firstLine="412" w:firstLineChars="196"/>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color w:val="auto"/>
          <w:szCs w:val="21"/>
          <w:highlight w:val="none"/>
        </w:rPr>
        <w:t>3、收费标准如下：</w:t>
      </w:r>
    </w:p>
    <w:p>
      <w:pPr>
        <w:spacing w:line="440" w:lineRule="exact"/>
        <w:ind w:right="-57" w:firstLine="420" w:firstLineChars="200"/>
        <w:rPr>
          <w:rFonts w:asciiTheme="majorEastAsia" w:eastAsiaTheme="majorEastAsia" w:hAnsiTheme="majorEastAsia" w:cstheme="majorEastAsia"/>
          <w:snapToGrid w:val="0"/>
          <w:color w:val="auto"/>
          <w:kern w:val="0"/>
          <w:szCs w:val="21"/>
          <w:highlight w:val="none"/>
        </w:rPr>
      </w:pPr>
      <w:r>
        <w:rPr>
          <w:rFonts w:asciiTheme="majorEastAsia" w:eastAsiaTheme="majorEastAsia" w:hAnsiTheme="majorEastAsia" w:cstheme="majorEastAsia" w:hint="eastAsia"/>
          <w:snapToGrid w:val="0"/>
          <w:color w:val="auto"/>
          <w:kern w:val="0"/>
          <w:szCs w:val="21"/>
          <w:highlight w:val="none"/>
        </w:rPr>
        <w:t>■ 定率收取：</w:t>
      </w:r>
    </w:p>
    <w:p>
      <w:pPr>
        <w:spacing w:line="440" w:lineRule="exact"/>
        <w:ind w:right="-57"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采购代理机构向中标方收取招标代理服务费，收费按差额定率累进法计算收取（经计算低于人民币</w:t>
      </w:r>
      <w:r>
        <w:rPr>
          <w:rFonts w:asciiTheme="majorEastAsia" w:eastAsiaTheme="majorEastAsia" w:hAnsiTheme="majorEastAsia" w:cstheme="majorEastAsia" w:hint="eastAsia"/>
          <w:color w:val="auto"/>
          <w:szCs w:val="21"/>
          <w:highlight w:val="none"/>
          <w:lang w:val="en-US" w:eastAsia="zh-CN"/>
        </w:rPr>
        <w:t>75</w:t>
      </w:r>
      <w:r>
        <w:rPr>
          <w:rFonts w:asciiTheme="majorEastAsia" w:eastAsiaTheme="majorEastAsia" w:hAnsiTheme="majorEastAsia" w:cstheme="majorEastAsia" w:hint="eastAsia"/>
          <w:color w:val="auto"/>
          <w:szCs w:val="21"/>
          <w:highlight w:val="none"/>
        </w:rPr>
        <w:t>00元的，按</w:t>
      </w:r>
      <w:r>
        <w:rPr>
          <w:rFonts w:asciiTheme="majorEastAsia" w:eastAsiaTheme="majorEastAsia" w:hAnsiTheme="majorEastAsia" w:cstheme="majorEastAsia" w:hint="eastAsia"/>
          <w:color w:val="auto"/>
          <w:szCs w:val="21"/>
          <w:highlight w:val="none"/>
          <w:lang w:val="en-US" w:eastAsia="zh-CN"/>
        </w:rPr>
        <w:t>75</w:t>
      </w:r>
      <w:r>
        <w:rPr>
          <w:rFonts w:asciiTheme="majorEastAsia" w:eastAsiaTheme="majorEastAsia" w:hAnsiTheme="majorEastAsia" w:cstheme="majorEastAsia" w:hint="eastAsia"/>
          <w:color w:val="auto"/>
          <w:szCs w:val="21"/>
          <w:highlight w:val="none"/>
        </w:rPr>
        <w:t>00元计取），收费标准如下表所列：</w:t>
      </w:r>
    </w:p>
    <w:tbl>
      <w:tblPr>
        <w:tblStyle w:val="TableNormal"/>
        <w:tblW w:w="833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2092"/>
        <w:gridCol w:w="2005"/>
        <w:gridCol w:w="2145"/>
        <w:gridCol w:w="2090"/>
      </w:tblGrid>
      <w:tr>
        <w:tblPrEx>
          <w:tblW w:w="833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2092" w:type="dxa"/>
            <w:tcBorders>
              <w:top w:val="single" w:sz="8" w:space="0" w:color="auto"/>
              <w:left w:val="single" w:sz="8" w:space="0" w:color="auto"/>
              <w:bottom w:val="single" w:sz="4" w:space="0" w:color="auto"/>
              <w:right w:val="single" w:sz="4" w:space="0" w:color="auto"/>
            </w:tcBorders>
            <w:vAlign w:val="center"/>
          </w:tcPr>
          <w:p>
            <w:pPr>
              <w:spacing w:line="340" w:lineRule="exact"/>
              <w:jc w:val="center"/>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中标金额</w:t>
            </w:r>
          </w:p>
        </w:tc>
        <w:tc>
          <w:tcPr>
            <w:tcW w:w="2005" w:type="dxa"/>
            <w:tcBorders>
              <w:top w:val="single" w:sz="8"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货物招标收费费率</w:t>
            </w:r>
          </w:p>
        </w:tc>
        <w:tc>
          <w:tcPr>
            <w:tcW w:w="2145" w:type="dxa"/>
            <w:tcBorders>
              <w:top w:val="single" w:sz="8"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工程招标收费费率</w:t>
            </w:r>
          </w:p>
        </w:tc>
        <w:tc>
          <w:tcPr>
            <w:tcW w:w="2090" w:type="dxa"/>
            <w:tcBorders>
              <w:top w:val="single" w:sz="8"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服务招标收费费率</w:t>
            </w:r>
          </w:p>
        </w:tc>
      </w:tr>
      <w:tr>
        <w:tblPrEx>
          <w:tblW w:w="8332" w:type="dxa"/>
          <w:jc w:val="center"/>
          <w:tblLayout w:type="fixed"/>
          <w:tblCellMar>
            <w:top w:w="0" w:type="dxa"/>
            <w:left w:w="108" w:type="dxa"/>
            <w:bottom w:w="0" w:type="dxa"/>
            <w:right w:w="108" w:type="dxa"/>
          </w:tblCellMar>
        </w:tblPrEx>
        <w:trPr>
          <w:trHeight w:val="454"/>
          <w:jc w:val="center"/>
        </w:trPr>
        <w:tc>
          <w:tcPr>
            <w:tcW w:w="2092" w:type="dxa"/>
            <w:tcBorders>
              <w:top w:val="single" w:sz="4" w:space="0" w:color="auto"/>
              <w:left w:val="single" w:sz="8" w:space="0" w:color="auto"/>
              <w:bottom w:val="single" w:sz="4" w:space="0" w:color="auto"/>
              <w:right w:val="single" w:sz="4"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100万元以下</w:t>
            </w:r>
          </w:p>
        </w:tc>
        <w:tc>
          <w:tcPr>
            <w:tcW w:w="2005"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1.5%</w:t>
            </w:r>
          </w:p>
        </w:tc>
        <w:tc>
          <w:tcPr>
            <w:tcW w:w="2145"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1.0%</w:t>
            </w:r>
          </w:p>
        </w:tc>
        <w:tc>
          <w:tcPr>
            <w:tcW w:w="2090"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1.5%</w:t>
            </w:r>
          </w:p>
        </w:tc>
      </w:tr>
      <w:tr>
        <w:tblPrEx>
          <w:tblW w:w="8332" w:type="dxa"/>
          <w:jc w:val="center"/>
          <w:tblLayout w:type="fixed"/>
          <w:tblCellMar>
            <w:top w:w="0" w:type="dxa"/>
            <w:left w:w="108" w:type="dxa"/>
            <w:bottom w:w="0" w:type="dxa"/>
            <w:right w:w="108" w:type="dxa"/>
          </w:tblCellMar>
        </w:tblPrEx>
        <w:trPr>
          <w:trHeight w:val="454"/>
          <w:jc w:val="center"/>
        </w:trPr>
        <w:tc>
          <w:tcPr>
            <w:tcW w:w="2092" w:type="dxa"/>
            <w:tcBorders>
              <w:top w:val="single" w:sz="4" w:space="0" w:color="auto"/>
              <w:left w:val="single" w:sz="8" w:space="0" w:color="auto"/>
              <w:bottom w:val="single" w:sz="4" w:space="0" w:color="auto"/>
              <w:right w:val="single" w:sz="4"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100万元（含）-500万元</w:t>
            </w:r>
          </w:p>
        </w:tc>
        <w:tc>
          <w:tcPr>
            <w:tcW w:w="2005"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1.1%</w:t>
            </w:r>
          </w:p>
        </w:tc>
        <w:tc>
          <w:tcPr>
            <w:tcW w:w="2145"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0.7%</w:t>
            </w:r>
          </w:p>
        </w:tc>
        <w:tc>
          <w:tcPr>
            <w:tcW w:w="2090"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0.8%</w:t>
            </w:r>
          </w:p>
        </w:tc>
      </w:tr>
      <w:tr>
        <w:tblPrEx>
          <w:tblW w:w="8332" w:type="dxa"/>
          <w:jc w:val="center"/>
          <w:tblLayout w:type="fixed"/>
          <w:tblCellMar>
            <w:top w:w="0" w:type="dxa"/>
            <w:left w:w="108" w:type="dxa"/>
            <w:bottom w:w="0" w:type="dxa"/>
            <w:right w:w="108" w:type="dxa"/>
          </w:tblCellMar>
        </w:tblPrEx>
        <w:trPr>
          <w:trHeight w:val="454"/>
          <w:jc w:val="center"/>
        </w:trPr>
        <w:tc>
          <w:tcPr>
            <w:tcW w:w="2092" w:type="dxa"/>
            <w:tcBorders>
              <w:top w:val="single" w:sz="4" w:space="0" w:color="auto"/>
              <w:left w:val="single" w:sz="8" w:space="0" w:color="auto"/>
              <w:bottom w:val="single" w:sz="4" w:space="0" w:color="auto"/>
              <w:right w:val="single" w:sz="4"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500万元（含）-1000万元</w:t>
            </w:r>
          </w:p>
        </w:tc>
        <w:tc>
          <w:tcPr>
            <w:tcW w:w="2005"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0.8%</w:t>
            </w:r>
          </w:p>
        </w:tc>
        <w:tc>
          <w:tcPr>
            <w:tcW w:w="2145"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0.55%</w:t>
            </w:r>
          </w:p>
        </w:tc>
        <w:tc>
          <w:tcPr>
            <w:tcW w:w="2090"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0.45%</w:t>
            </w:r>
          </w:p>
        </w:tc>
      </w:tr>
      <w:tr>
        <w:tblPrEx>
          <w:tblW w:w="8332" w:type="dxa"/>
          <w:jc w:val="center"/>
          <w:tblLayout w:type="fixed"/>
          <w:tblCellMar>
            <w:top w:w="0" w:type="dxa"/>
            <w:left w:w="108" w:type="dxa"/>
            <w:bottom w:w="0" w:type="dxa"/>
            <w:right w:w="108" w:type="dxa"/>
          </w:tblCellMar>
        </w:tblPrEx>
        <w:trPr>
          <w:trHeight w:val="454"/>
          <w:jc w:val="center"/>
        </w:trPr>
        <w:tc>
          <w:tcPr>
            <w:tcW w:w="2092" w:type="dxa"/>
            <w:tcBorders>
              <w:top w:val="single" w:sz="4" w:space="0" w:color="auto"/>
              <w:left w:val="single" w:sz="8" w:space="0" w:color="auto"/>
              <w:bottom w:val="single" w:sz="4" w:space="0" w:color="auto"/>
              <w:right w:val="single" w:sz="4"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1000万元（含）-5000万元</w:t>
            </w:r>
          </w:p>
        </w:tc>
        <w:tc>
          <w:tcPr>
            <w:tcW w:w="2005"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0.5%</w:t>
            </w:r>
          </w:p>
        </w:tc>
        <w:tc>
          <w:tcPr>
            <w:tcW w:w="2145"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0.35%</w:t>
            </w:r>
          </w:p>
        </w:tc>
        <w:tc>
          <w:tcPr>
            <w:tcW w:w="2090"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0.25%</w:t>
            </w:r>
          </w:p>
        </w:tc>
      </w:tr>
      <w:tr>
        <w:tblPrEx>
          <w:tblW w:w="8332" w:type="dxa"/>
          <w:jc w:val="center"/>
          <w:tblLayout w:type="fixed"/>
          <w:tblCellMar>
            <w:top w:w="0" w:type="dxa"/>
            <w:left w:w="108" w:type="dxa"/>
            <w:bottom w:w="0" w:type="dxa"/>
            <w:right w:w="108" w:type="dxa"/>
          </w:tblCellMar>
        </w:tblPrEx>
        <w:trPr>
          <w:trHeight w:val="454"/>
          <w:jc w:val="center"/>
        </w:trPr>
        <w:tc>
          <w:tcPr>
            <w:tcW w:w="2092" w:type="dxa"/>
            <w:tcBorders>
              <w:top w:val="single" w:sz="4" w:space="0" w:color="auto"/>
              <w:left w:val="single" w:sz="8" w:space="0" w:color="auto"/>
              <w:bottom w:val="single" w:sz="4" w:space="0" w:color="auto"/>
              <w:right w:val="single" w:sz="4"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5000万元（含）-1亿元</w:t>
            </w:r>
          </w:p>
        </w:tc>
        <w:tc>
          <w:tcPr>
            <w:tcW w:w="2005"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0.25%</w:t>
            </w:r>
          </w:p>
        </w:tc>
        <w:tc>
          <w:tcPr>
            <w:tcW w:w="2145"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0.2%</w:t>
            </w:r>
          </w:p>
        </w:tc>
        <w:tc>
          <w:tcPr>
            <w:tcW w:w="2090"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0.1%</w:t>
            </w:r>
          </w:p>
        </w:tc>
      </w:tr>
    </w:tbl>
    <w:p>
      <w:pPr>
        <w:spacing w:line="440" w:lineRule="exact"/>
        <w:ind w:right="-57" w:firstLine="420" w:firstLineChars="200"/>
        <w:rPr>
          <w:rFonts w:asciiTheme="majorEastAsia" w:eastAsiaTheme="majorEastAsia" w:hAnsiTheme="majorEastAsia" w:cstheme="majorEastAsia"/>
          <w:snapToGrid w:val="0"/>
          <w:color w:val="auto"/>
          <w:kern w:val="0"/>
          <w:szCs w:val="21"/>
          <w:highlight w:val="none"/>
        </w:rPr>
      </w:pPr>
      <w:r>
        <w:rPr>
          <w:rFonts w:asciiTheme="majorEastAsia" w:eastAsiaTheme="majorEastAsia" w:hAnsiTheme="majorEastAsia" w:cstheme="majorEastAsia" w:hint="eastAsia"/>
          <w:snapToGrid w:val="0"/>
          <w:color w:val="auto"/>
          <w:kern w:val="0"/>
          <w:szCs w:val="21"/>
          <w:highlight w:val="none"/>
        </w:rPr>
        <w:t>□ 定额收取：</w:t>
      </w:r>
    </w:p>
    <w:p>
      <w:pPr>
        <w:spacing w:line="440" w:lineRule="exact"/>
        <w:ind w:right="-57" w:firstLine="420" w:firstLineChars="200"/>
        <w:rPr>
          <w:rFonts w:asciiTheme="majorEastAsia" w:eastAsiaTheme="majorEastAsia" w:hAnsiTheme="majorEastAsia" w:cstheme="majorEastAsia"/>
          <w:snapToGrid w:val="0"/>
          <w:color w:val="auto"/>
          <w:kern w:val="0"/>
          <w:szCs w:val="21"/>
          <w:highlight w:val="none"/>
        </w:rPr>
      </w:pPr>
      <w:r>
        <w:rPr>
          <w:rFonts w:asciiTheme="majorEastAsia" w:eastAsiaTheme="majorEastAsia" w:hAnsiTheme="majorEastAsia" w:cstheme="majorEastAsia" w:hint="eastAsia"/>
          <w:snapToGrid w:val="0"/>
          <w:color w:val="auto"/>
          <w:kern w:val="0"/>
          <w:szCs w:val="21"/>
          <w:highlight w:val="none"/>
        </w:rPr>
        <w:t>本项目按定额收取招标代理服务费，收费金额为人民币</w:t>
      </w:r>
      <w:r>
        <w:rPr>
          <w:rFonts w:asciiTheme="majorEastAsia" w:eastAsiaTheme="majorEastAsia" w:hAnsiTheme="majorEastAsia" w:cstheme="majorEastAsia" w:hint="eastAsia"/>
          <w:snapToGrid w:val="0"/>
          <w:color w:val="auto"/>
          <w:kern w:val="0"/>
          <w:szCs w:val="21"/>
          <w:highlight w:val="none"/>
          <w:u w:val="single"/>
        </w:rPr>
        <w:t xml:space="preserve">     </w:t>
      </w:r>
      <w:r>
        <w:rPr>
          <w:rFonts w:asciiTheme="majorEastAsia" w:eastAsiaTheme="majorEastAsia" w:hAnsiTheme="majorEastAsia" w:cstheme="majorEastAsia" w:hint="eastAsia"/>
          <w:snapToGrid w:val="0"/>
          <w:color w:val="auto"/>
          <w:kern w:val="0"/>
          <w:szCs w:val="21"/>
          <w:highlight w:val="none"/>
        </w:rPr>
        <w:t>元。</w:t>
      </w:r>
    </w:p>
    <w:p>
      <w:pPr>
        <w:spacing w:line="440" w:lineRule="exact"/>
        <w:ind w:right="-57" w:firstLine="420" w:firstLineChars="200"/>
        <w:rPr>
          <w:rFonts w:asciiTheme="majorEastAsia" w:eastAsiaTheme="majorEastAsia" w:hAnsiTheme="majorEastAsia" w:cstheme="majorEastAsia"/>
          <w:snapToGrid w:val="0"/>
          <w:color w:val="auto"/>
          <w:kern w:val="0"/>
          <w:szCs w:val="21"/>
          <w:highlight w:val="none"/>
        </w:rPr>
      </w:pPr>
      <w:r>
        <w:rPr>
          <w:rFonts w:asciiTheme="majorEastAsia" w:eastAsiaTheme="majorEastAsia" w:hAnsiTheme="majorEastAsia" w:cstheme="majorEastAsia" w:hint="eastAsia"/>
          <w:snapToGrid w:val="0"/>
          <w:color w:val="auto"/>
          <w:kern w:val="0"/>
          <w:szCs w:val="21"/>
          <w:highlight w:val="none"/>
        </w:rPr>
        <w:br w:type="page"/>
      </w:r>
    </w:p>
    <w:p>
      <w:pPr>
        <w:pStyle w:val="Heading1"/>
        <w:keepNext w:val="0"/>
        <w:keepLines w:val="0"/>
        <w:rPr>
          <w:rFonts w:ascii="微软雅黑" w:eastAsia="微软雅黑" w:hAnsi="微软雅黑" w:cs="微软雅黑"/>
          <w:b/>
          <w:bCs w:val="0"/>
          <w:color w:val="auto"/>
          <w:highlight w:val="none"/>
        </w:rPr>
      </w:pPr>
      <w:r>
        <w:rPr>
          <w:rFonts w:ascii="微软雅黑" w:eastAsia="微软雅黑" w:hAnsi="微软雅黑" w:cs="微软雅黑" w:hint="eastAsia"/>
          <w:b/>
          <w:bCs w:val="0"/>
          <w:color w:val="auto"/>
          <w:highlight w:val="none"/>
        </w:rPr>
        <w:t>第二册  通用条款（公开招标）</w:t>
      </w:r>
    </w:p>
    <w:p>
      <w:pPr>
        <w:pStyle w:val="Heading2"/>
        <w:numPr>
          <w:ilvl w:val="0"/>
          <w:numId w:val="8"/>
        </w:numPr>
        <w:spacing w:before="120" w:after="120" w:line="440" w:lineRule="exact"/>
        <w:ind w:left="482" w:hanging="482"/>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 xml:space="preserve">  总则</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 通用条款说明</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1.1采购代理机构发出招标文件通用条款版本，列出深圳市政府采购项目进行招标采购所适用的通用条款内容。如有需要，采购代理机构可以对通用条款增加附录或补充内容。</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1.2招标文件分为第一册“专用条款”和第二册“通用条款”。</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1.3“专用条款”是对本次采购项目的具体要求，包含投标人资格要求、用户需求书、投标文件格式、附件等内容。</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1.4“通用条款”是适用于政府采购项目的基础性条款，具有普遍性和通用性。</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1.5 “专用条款”和“通用条款”表述不一致或有冲突时，以“专用条款”为准。</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2．招标说明</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本项目按照《深圳经济特区政府采购条例》、《深圳经济特区政府采购条例实施细则》等规定，并参考有关法规，通过招标方式确定中标供应商。</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3．定义</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招标文件中下列术语应解释为：</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3.1“采购代理机构”是指接受采购人委托，组织本次采购招标的社会采购代理机构；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3.2“采购人”或“招标人”：指利用财政性资金依法进行政府采购的国家机关、事业单位、团体组织； </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3.3“投标人”或“投标方”，即供应商，指参加投标竞争并愿意按照招标文件要求向采购人提供货物、工程或者服务的依法成立的法人、其他组织或者自然人；</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3.4“评审委员会”和“谈判小组”是依据《深圳经济特区政府采购条例》、《深圳经济特区政府采购条例实施细则》等有关规定组建的专门负责本次招标其评标（谈判）工作的临时性机构；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3.5“日期”指公历日；</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3.6“合同”指由本次招标所产生的合同或合约文件；</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3.7“电子投标文件”指利用</w:t>
      </w:r>
      <w:r>
        <w:rPr>
          <w:rFonts w:ascii="宋体" w:hAnsi="宋体" w:hint="eastAsia"/>
          <w:color w:val="auto"/>
          <w:szCs w:val="21"/>
          <w:highlight w:val="none"/>
        </w:rPr>
        <w:t>利用</w:t>
      </w:r>
      <w:r>
        <w:rPr>
          <w:rFonts w:ascii="宋体" w:hAnsi="宋体" w:hint="eastAsia"/>
          <w:color w:val="auto"/>
          <w:highlight w:val="none"/>
        </w:rPr>
        <w:t>深圳智慧采购平台投标文件制作专用软件（以下简称：投标文件制作软件）制作并</w:t>
      </w:r>
      <w:r>
        <w:rPr>
          <w:rFonts w:ascii="宋体" w:hAnsi="宋体" w:hint="eastAsia"/>
          <w:color w:val="auto"/>
          <w:szCs w:val="21"/>
          <w:highlight w:val="none"/>
        </w:rPr>
        <w:t>加密的投标文件,适用于网上投标；（投标文件制作软件可从</w:t>
      </w:r>
      <w:r>
        <w:rPr>
          <w:rFonts w:hint="eastAsia"/>
          <w:color w:val="auto"/>
          <w:highlight w:val="none"/>
        </w:rPr>
        <w:t>“</w:t>
      </w:r>
      <w:r>
        <w:rPr>
          <w:rFonts w:ascii="宋体" w:hAnsi="宋体" w:hint="eastAsia"/>
          <w:color w:val="auto"/>
          <w:highlight w:val="none"/>
        </w:rPr>
        <w:t>下载地址：</w:t>
      </w:r>
      <w:r>
        <w:rPr>
          <w:color w:val="auto"/>
          <w:highlight w:val="none"/>
        </w:rPr>
        <w:t>http://zfcg.szggzy.com/</w:t>
      </w:r>
      <w:r>
        <w:rPr>
          <w:rFonts w:ascii="宋体" w:hAnsi="宋体" w:hint="eastAsia"/>
          <w:color w:val="auto"/>
          <w:highlight w:val="none"/>
        </w:rPr>
        <w:t>TPBidder/DownLoad/深圳市智慧采购平台投标文件制作专用软件.zip</w:t>
      </w:r>
      <w:r>
        <w:rPr>
          <w:rFonts w:hint="eastAsia"/>
          <w:color w:val="auto"/>
          <w:highlight w:val="none"/>
        </w:rPr>
        <w:t>”</w:t>
      </w:r>
      <w:r>
        <w:rPr>
          <w:rFonts w:ascii="宋体" w:hAnsi="宋体" w:hint="eastAsia"/>
          <w:color w:val="auto"/>
          <w:szCs w:val="21"/>
          <w:highlight w:val="none"/>
        </w:rPr>
        <w:t>下载）</w:t>
      </w:r>
      <w:r>
        <w:rPr>
          <w:rFonts w:asciiTheme="majorEastAsia" w:eastAsiaTheme="majorEastAsia" w:hAnsiTheme="majorEastAsia" w:cstheme="majorEastAsia" w:hint="eastAsia"/>
          <w:color w:val="auto"/>
          <w:szCs w:val="21"/>
          <w:highlight w:val="none"/>
        </w:rPr>
        <w:t>；</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3.8“网上投标”指通过</w:t>
      </w:r>
      <w:r>
        <w:rPr>
          <w:rFonts w:ascii="宋体" w:hAnsi="宋体" w:hint="eastAsia"/>
          <w:color w:val="auto"/>
          <w:highlight w:val="none"/>
        </w:rPr>
        <w:t>深圳智慧采购平台</w:t>
      </w:r>
      <w:r>
        <w:rPr>
          <w:rFonts w:asciiTheme="majorEastAsia" w:eastAsiaTheme="majorEastAsia" w:hAnsiTheme="majorEastAsia" w:cstheme="majorEastAsia" w:hint="eastAsia"/>
          <w:color w:val="auto"/>
          <w:szCs w:val="21"/>
          <w:highlight w:val="none"/>
        </w:rPr>
        <w:t>网站上传电子投标文件；</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3.9招标文件中的标题或题名仅起引导作用，而不应视为对招标文件内容的理解和解释。</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4. 政府采购供应商责任</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4.1欢迎诚信、有实力和有社会责任心的供应商参与政府采购事业。</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4.2投标人应当遵循公平竞争的原则，不得恶意串通，不得妨碍其他投标人的竞争行为，不得损害采购人或者其他投标人的合法权益。如违反上述要求，经核实后，供应商的投标无效。</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5．投标人参加政府采购的条件</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5.1投标人应在投标前到进行注册。《</w:t>
      </w:r>
      <w:r>
        <w:rPr>
          <w:color w:val="auto"/>
          <w:highlight w:val="none"/>
        </w:rPr>
        <w:fldChar w:fldCharType="begin"/>
      </w:r>
      <w:r>
        <w:rPr>
          <w:color w:val="auto"/>
          <w:highlight w:val="none"/>
        </w:rPr>
        <w:instrText xml:space="preserve"> HYPERLINK "http://www.szzfcg.cn/viewer.do?id=2455258" \t "documentViewer2455258" </w:instrText>
      </w:r>
      <w:r>
        <w:rPr>
          <w:color w:val="auto"/>
          <w:highlight w:val="none"/>
        </w:rPr>
        <w:fldChar w:fldCharType="separate"/>
      </w:r>
      <w:r>
        <w:rPr>
          <w:rFonts w:asciiTheme="majorEastAsia" w:eastAsiaTheme="majorEastAsia" w:hAnsiTheme="majorEastAsia" w:cstheme="majorEastAsia" w:hint="eastAsia"/>
          <w:color w:val="auto"/>
          <w:szCs w:val="21"/>
          <w:highlight w:val="none"/>
        </w:rPr>
        <w:t>供应商注册及电子密钥新申请指引</w:t>
      </w:r>
      <w:r>
        <w:rPr>
          <w:rFonts w:asciiTheme="majorEastAsia" w:eastAsiaTheme="majorEastAsia" w:hAnsiTheme="majorEastAsia" w:cstheme="majorEastAsia" w:hint="eastAsia"/>
          <w:color w:val="auto"/>
          <w:szCs w:val="21"/>
          <w:highlight w:val="none"/>
        </w:rPr>
        <w:fldChar w:fldCharType="end"/>
      </w:r>
      <w:r>
        <w:rPr>
          <w:rFonts w:asciiTheme="majorEastAsia" w:eastAsiaTheme="majorEastAsia" w:hAnsiTheme="majorEastAsia" w:cstheme="majorEastAsia" w:hint="eastAsia"/>
          <w:color w:val="auto"/>
          <w:szCs w:val="21"/>
          <w:highlight w:val="none"/>
        </w:rPr>
        <w:t>》详见深圳公共资源交易网（http://www.szggzy.com/）。</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5.2投标人的资格要求</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参加本项目的投标人应具备的资格条件详见本项目招标公告中 “投标人资格要求”的内容。</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5.3联合体投标</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5.3.1　以下有关联合体投标的条款仅适用于允许投标人组成联合体投标的项目。</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5.3.2  由两个或两个以上的自然人、法人或者其他组织可以组成一个联合体，以一个供应商的身份共同投标时，应符合以下原则：</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（1）投标联合体各方参加政府采购活动应当具备下列条件： </w:t>
      </w:r>
    </w:p>
    <w:p>
      <w:pPr>
        <w:spacing w:line="440" w:lineRule="exact"/>
        <w:ind w:firstLine="622" w:firstLineChars="2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1）具有独立承担民事责任的能力； </w:t>
      </w:r>
    </w:p>
    <w:p>
      <w:pPr>
        <w:spacing w:line="440" w:lineRule="exact"/>
        <w:ind w:firstLine="622" w:firstLineChars="2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2）有良好的商业信誉和健全的财务会计制度； </w:t>
      </w:r>
    </w:p>
    <w:p>
      <w:pPr>
        <w:spacing w:line="440" w:lineRule="exact"/>
        <w:ind w:firstLine="622" w:firstLineChars="2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3）具有履行合同所必需的设备和专业技术能力； </w:t>
      </w:r>
    </w:p>
    <w:p>
      <w:pPr>
        <w:spacing w:line="440" w:lineRule="exact"/>
        <w:ind w:firstLine="622" w:firstLineChars="2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4）有依法缴纳税收和社会保障资金的良好记录； </w:t>
      </w:r>
    </w:p>
    <w:p>
      <w:pPr>
        <w:spacing w:line="440" w:lineRule="exact"/>
        <w:ind w:firstLine="622" w:firstLineChars="2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5）参加政府采购活动前三年内，在经营活动中没有重大违法记录； </w:t>
      </w:r>
    </w:p>
    <w:p>
      <w:pPr>
        <w:spacing w:line="440" w:lineRule="exact"/>
        <w:ind w:firstLine="622" w:firstLineChars="2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6）法律、行政法规规定的其他条件。 </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（2）投标联合体各方必须有一方先行注册成深圳市政府采购供应商；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（3）联合体中有同类资质的供应商按照联合体分工承担相同工作的，应当按照资质等级较低的供应商确定资质等级。</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（4）是否允许联合体参加投标，应当由采购人和采购代理机构根据项目的实际情况和潜在供应商的数量自主决定，如果决定接受联合体投标则应当在采购公告中明示。</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（5）投标人的投标文件及中标后签署的合同协议对联合体各方均具法律约束力；</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（6）联合体各方应当签订共同投标协议，明确约定各方拟承担的工作和责任，并将该共同投标协议随投标文件一并递交给采购代理机构；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（7）联合体中标后，联合体各方应当共同与采购人签订合同，就中标项目向采购人承担连带责任；</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（9）本通用条款中“投标人”一词亦指联合体各方，专用条款另有规定或说明的除外。</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6．政策导向</w:t>
      </w:r>
    </w:p>
    <w:p>
      <w:pPr>
        <w:spacing w:line="440" w:lineRule="exact"/>
        <w:ind w:firstLine="420" w:firstLineChars="2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spacing w:line="440" w:lineRule="exact"/>
        <w:ind w:firstLine="405"/>
        <w:rPr>
          <w:rFonts w:asciiTheme="majorEastAsia" w:eastAsiaTheme="majorEastAsia" w:hAnsiTheme="majorEastAsia" w:cstheme="majorEastAsia"/>
          <w:color w:val="auto"/>
          <w:szCs w:val="21"/>
          <w:highlight w:val="none"/>
          <w:shd w:val="clear" w:color="auto" w:fill="FFFFFF"/>
        </w:rPr>
      </w:pPr>
      <w:r>
        <w:rPr>
          <w:rFonts w:asciiTheme="majorEastAsia" w:eastAsiaTheme="majorEastAsia" w:hAnsiTheme="majorEastAsia" w:cstheme="majorEastAsia" w:hint="eastAsia"/>
          <w:color w:val="auto"/>
          <w:szCs w:val="21"/>
          <w:highlight w:val="none"/>
          <w:shd w:val="clear" w:color="auto" w:fill="FFFFFF"/>
        </w:rPr>
        <w:t xml:space="preserve">6.2 </w:t>
      </w:r>
      <w:r>
        <w:rPr>
          <w:rFonts w:asciiTheme="majorEastAsia" w:eastAsiaTheme="majorEastAsia" w:hAnsiTheme="majorEastAsia" w:cstheme="majorEastAsia" w:hint="eastAsia"/>
          <w:color w:val="auto"/>
          <w:szCs w:val="21"/>
          <w:highlight w:val="none"/>
        </w:rPr>
        <w:t>根据《深圳市人民政府关于印发深圳市贯彻落实守信联合激励和失信联合惩戒制度实施方案的通知》（深府〔2017〕57号）等文件要求，对列入失信“黑名单”的供应商限制参与政府采购。</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7. 本项目若涉及采购货物，则合格的货物及相应服务应满足以下要求：</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7.1  必须是全新、未使用过的原装合格正品（包括零部件），如安装或配置了软件的，须为正版软件。</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7.2  国产的货物及其有关服务必须符合中华人民共和国的设计、制造生产标准及行业标准。招标公告有其他要求的，亦应符合其要求。</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7.3  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7.4  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7.6  对工期的要求：投标人在投标时对其所投项目应提交交货进度、交货计划等，在合同规定的时间内完工验收。</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7.7  投标人必须承担的设备运输、安装调试、验收检测和提供设备操作说明书、图纸等其他相关及类似的义务。</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8．投标费用</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不论投标结果如何，投标人应承担其编制投标文件与递交投标文件所涉及的一切费用。</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9．踏勘现场</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9.1如有需要（详见专用条款），采购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9.2投标人及其人员经过采购人的允许，可以进入采购人的项目现场踏勘。若招标文件要求投标人于统一时间地点踏勘现场的，投标人应当按时前往。</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9.3采购人必须通过采购代理机构向投标人提供有关现场的资料和数据。</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9.4任何人或任何组织在踏勘现场时向投标人提交的任何书面资料或口头承诺，未经采购代理机构在网上发布或书面通知，均作无效处理。</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10．招标答疑</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10.1招标答疑的目的是澄清、解答投标人在查阅招标文件后或现场踏勘中可能提出的与投标有关的疑问或询问。</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10.2投标人如对招标文件内容有疑问，必须在招标文件规定的答疑截止时间前以网上提问形式提交采购代理机构。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10.3采购代理机构对疑问所做出的澄清和解答，以书面答复（包括网站发布信息）为准。答疑纪要的有效性规定按照本通用条款第13.3、13.4款规定执行。</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10.4如采购代理机构认为有必要组织现场答疑会，投标人应按照招标文件规定的时间或采购代理机构另行书面通知（包括网站发布的通知）的时间和地点，参与现场答疑会。</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10.5未参与招标答疑不作为否定投标人资格的理由。</w:t>
      </w:r>
    </w:p>
    <w:p>
      <w:pPr>
        <w:pStyle w:val="Heading2"/>
        <w:numPr>
          <w:ilvl w:val="0"/>
          <w:numId w:val="8"/>
        </w:numPr>
        <w:spacing w:before="120" w:after="120" w:line="440" w:lineRule="exact"/>
        <w:ind w:left="482" w:hanging="482"/>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 xml:space="preserve">  招标文件</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11．招标文件的编制与组成</w:t>
      </w:r>
    </w:p>
    <w:p>
      <w:pPr>
        <w:snapToGrid w:val="0"/>
        <w:spacing w:line="44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11.1招标文件除以下内容外，采购代理机构在招标（或谈判）期间发出的答疑、澄清或修改等相关公告或通知内容，均是招标文件的组成部分，对投标人起约束作用；</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招标文件包括下列内容：</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第一册  专用条款</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关键信息</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color w:val="auto"/>
          <w:szCs w:val="21"/>
          <w:highlight w:val="none"/>
        </w:rPr>
        <w:t xml:space="preserve">第一章 </w:t>
      </w:r>
      <w:r>
        <w:rPr>
          <w:rFonts w:asciiTheme="majorEastAsia" w:eastAsiaTheme="majorEastAsia" w:hAnsiTheme="majorEastAsia" w:cstheme="majorEastAsia" w:hint="eastAsia"/>
          <w:bCs/>
          <w:color w:val="auto"/>
          <w:szCs w:val="21"/>
          <w:highlight w:val="none"/>
        </w:rPr>
        <w:t xml:space="preserve"> 招标公告</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第二章  用户需求书</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第三章  投标文件格式、附件</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第四章  合同条款及格式</w:t>
      </w:r>
    </w:p>
    <w:p>
      <w:pPr>
        <w:spacing w:line="440" w:lineRule="exact"/>
        <w:ind w:left="1079" w:firstLine="210" w:leftChars="514" w:firstLineChars="1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bCs/>
          <w:color w:val="auto"/>
          <w:szCs w:val="21"/>
          <w:highlight w:val="none"/>
        </w:rPr>
        <w:t>第五章  招标代理服</w:t>
      </w:r>
      <w:r>
        <w:rPr>
          <w:rFonts w:asciiTheme="majorEastAsia" w:eastAsiaTheme="majorEastAsia" w:hAnsiTheme="majorEastAsia" w:cstheme="majorEastAsia" w:hint="eastAsia"/>
          <w:color w:val="auto"/>
          <w:szCs w:val="21"/>
          <w:highlight w:val="none"/>
        </w:rPr>
        <w:t>务费</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第二册  通用条款</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color w:val="auto"/>
          <w:szCs w:val="21"/>
          <w:highlight w:val="none"/>
        </w:rPr>
        <w:t>第一</w:t>
      </w:r>
      <w:r>
        <w:rPr>
          <w:rFonts w:asciiTheme="majorEastAsia" w:eastAsiaTheme="majorEastAsia" w:hAnsiTheme="majorEastAsia" w:cstheme="majorEastAsia" w:hint="eastAsia"/>
          <w:bCs/>
          <w:color w:val="auto"/>
          <w:szCs w:val="21"/>
          <w:highlight w:val="none"/>
        </w:rPr>
        <w:t>章  总则</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第二章  招标文件</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第三章  投标文件的编制</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第四章  投标文件的递交</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第五章  开标</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第六章  评标要求</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第七章  评标程序及评标方法</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第八章  定标及公示</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第九章  公开招标失败的后续处理</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第十章  合同的授予与备案</w:t>
      </w:r>
    </w:p>
    <w:p>
      <w:pPr>
        <w:spacing w:line="440" w:lineRule="exact"/>
        <w:ind w:left="1079" w:firstLine="210" w:leftChars="514" w:firstLineChars="1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bCs/>
          <w:color w:val="auto"/>
          <w:szCs w:val="21"/>
          <w:highlight w:val="none"/>
        </w:rPr>
        <w:t>第十一章</w:t>
      </w:r>
      <w:r>
        <w:rPr>
          <w:rFonts w:asciiTheme="majorEastAsia" w:eastAsiaTheme="majorEastAsia" w:hAnsiTheme="majorEastAsia" w:cstheme="majorEastAsia" w:hint="eastAsia"/>
          <w:color w:val="auto"/>
          <w:szCs w:val="21"/>
          <w:highlight w:val="none"/>
        </w:rPr>
        <w:t xml:space="preserve">  质疑处理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11.2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11.3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12．招标文件的澄清</w:t>
      </w:r>
    </w:p>
    <w:p>
      <w:pPr>
        <w:snapToGrid w:val="0"/>
        <w:spacing w:line="44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12.1投标人如对招标文件内容有疑问，必须在招标文件规定的答疑截止时间前以网上提问形式提交给采购代理机构。不论是采购代理机构根据需要主动对招标文件进行必要的澄清或是根据投标人的要求对招标文件做出澄清，采购代理机构都将在投标截止日期前以书面形式（包括采购代理机构网站公开发布方式）答复或发送给所有投标人。澄清纪要作为招标文件的组成部分，对投标人起约束作用；</w:t>
      </w:r>
    </w:p>
    <w:p>
      <w:pPr>
        <w:snapToGrid w:val="0"/>
        <w:spacing w:line="44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12.2对于没有提出澄清又参与了该项目投标的供应商将被视为完全认同该招标文件（含澄清纪要），投标截止期后不再受理针对招标文件的相关质疑或投诉。</w:t>
      </w:r>
    </w:p>
    <w:p>
      <w:pPr>
        <w:snapToGrid w:val="0"/>
        <w:spacing w:line="44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12.3 对招标文件中描述有歧意或前后不一致的地方，评审委员会有权进行评判，但对同一条款的评判应适用于每个投标人。</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13．招标文件的修改</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13.1招标文件发出后，在投标截止日期前任何时候，确需要变更招标内容的，采购代理机构可主动或在解答投标人提出的澄清问题时对招标文件进行修改；</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13.2招标文件的修改以书面形式（包括网站公开发布方式）发送给所有投标人，招标文件的修改内容作为招标文件的组成部分，并具有约束力。</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13.3招标文件、招标文件澄清（答疑）纪要、招标文件修改补充通知内容均以书面（包括网站公开发布方式）明确的内容为准。当招标文件、修改补充通知、澄清（答疑）纪要内容相互矛盾时，以最后发出的内容为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pPr>
        <w:pStyle w:val="Heading2"/>
        <w:numPr>
          <w:ilvl w:val="0"/>
          <w:numId w:val="8"/>
        </w:numPr>
        <w:spacing w:before="120" w:after="120" w:line="440" w:lineRule="exact"/>
        <w:ind w:left="482" w:hanging="482"/>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 xml:space="preserve">  投标文件的编制</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14．投标文件的语言及度量单位</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14.2 除技术规范另有规定外，投标文件使用的度量单位，均采用中华人民共和国法定计量单位。</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15．投标文件的组成</w:t>
      </w:r>
    </w:p>
    <w:p>
      <w:pPr>
        <w:spacing w:line="440" w:lineRule="exact"/>
        <w:ind w:firstLine="412" w:firstLineChars="196"/>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具体内容请详见本项目</w:t>
      </w:r>
      <w:r>
        <w:rPr>
          <w:rFonts w:asciiTheme="majorEastAsia" w:eastAsiaTheme="majorEastAsia" w:hAnsiTheme="majorEastAsia" w:cstheme="majorEastAsia" w:hint="eastAsia"/>
          <w:b/>
          <w:bCs/>
          <w:color w:val="auto"/>
          <w:szCs w:val="21"/>
          <w:highlight w:val="none"/>
        </w:rPr>
        <w:t>招标文件第一册“专用条款”</w:t>
      </w:r>
      <w:r>
        <w:rPr>
          <w:rFonts w:asciiTheme="majorEastAsia" w:eastAsiaTheme="majorEastAsia" w:hAnsiTheme="majorEastAsia" w:cstheme="majorEastAsia" w:hint="eastAsia"/>
          <w:b/>
          <w:color w:val="auto"/>
          <w:szCs w:val="21"/>
          <w:highlight w:val="none"/>
        </w:rPr>
        <w:t>的相关内容。</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16．投标文件格式</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投标文件包括本通用条款第15条中规定的内容。如招标文件提供了投标文件格式，则</w:t>
      </w:r>
      <w:r>
        <w:rPr>
          <w:rFonts w:asciiTheme="majorEastAsia" w:eastAsiaTheme="majorEastAsia" w:hAnsiTheme="majorEastAsia" w:cstheme="majorEastAsia" w:hint="eastAsia"/>
          <w:b/>
          <w:bCs/>
          <w:color w:val="auto"/>
          <w:szCs w:val="21"/>
          <w:highlight w:val="none"/>
        </w:rPr>
        <w:t>投标人提交的投标文件应毫无例外地使用招标文件所提供的相应格式</w:t>
      </w:r>
      <w:r>
        <w:rPr>
          <w:rFonts w:asciiTheme="majorEastAsia" w:eastAsiaTheme="majorEastAsia" w:hAnsiTheme="majorEastAsia" w:cstheme="majorEastAsia" w:hint="eastAsia"/>
          <w:color w:val="auto"/>
          <w:szCs w:val="21"/>
          <w:highlight w:val="none"/>
        </w:rPr>
        <w:t>（表格可以按同样格式扩展）。</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17．投标货币</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本项目的投标应以人民币计。</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18．证明投标文件投标技术方案的合格性和符合招标文件规定的文件要求</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18.1 投标人应提交证明文件证明其投标技术方案项下的货物、工程和服务的合格性符合招标文件规定。该投标技术方案及其证明文件作为投标文件的一部分。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18.2.1主要技术指标和性能的详细说明。</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18.2.2投标产品从采购人开始使用至招标文件中规定的周期内正常、连续地使用所必须的备件和专用工具清单，包括备件和专用工具的货源及现行价格。</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18.2.3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18.2.5我国政府机构出具的产品检验和核准证件应为证件正面、背面和附件标注的全部具体内容；产品检验和核准证件的尺寸和清晰度应该能够在电脑上被阅读、识别和判断，提供原件扫描件。</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18.3相关资料不符合18.2款要求的，评审委员会有权认定为投标技术方案不合格响应，其相关分数予以扣减或作投标无效处理。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18.5为保证公平公正，除非另有规定或说明，投标人对同一项目投标时，不得同时提供两套或两套以上的投标方案。</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19．投标文件其他证明文件的要求</w:t>
      </w:r>
    </w:p>
    <w:p>
      <w:pPr>
        <w:rPr>
          <w:rFonts w:ascii="宋体" w:hAnsi="宋体" w:cs="宋体"/>
          <w:color w:val="auto"/>
          <w:szCs w:val="21"/>
          <w:highlight w:val="none"/>
        </w:rPr>
      </w:pPr>
      <w:r>
        <w:rPr>
          <w:rFonts w:asciiTheme="majorEastAsia" w:eastAsiaTheme="majorEastAsia" w:hAnsiTheme="majorEastAsia" w:cstheme="majorEastAsia" w:hint="eastAsia"/>
          <w:color w:val="auto"/>
          <w:szCs w:val="21"/>
          <w:highlight w:val="none"/>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r>
        <w:rPr>
          <w:rFonts w:ascii="宋体" w:hAnsi="宋体" w:cs="宋体" w:hint="eastAsia"/>
          <w:color w:val="auto"/>
          <w:szCs w:val="21"/>
          <w:highlight w:val="none"/>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pPr>
        <w:ind w:firstLine="420" w:firstLineChars="200"/>
        <w:rPr>
          <w:rFonts w:ascii="宋体" w:hAnsi="宋体" w:cs="宋体"/>
          <w:color w:val="auto"/>
          <w:szCs w:val="21"/>
          <w:highlight w:val="none"/>
        </w:rPr>
      </w:pPr>
      <w:r>
        <w:rPr>
          <w:rFonts w:ascii="宋体" w:hAnsi="宋体" w:cs="宋体" w:hint="eastAsia"/>
          <w:color w:val="auto"/>
          <w:szCs w:val="21"/>
          <w:highlight w:val="none"/>
        </w:rPr>
        <w:t>（1）被质疑供应商未能在合理时间内提供资料原件核对，且不能合理说明的；</w:t>
      </w:r>
    </w:p>
    <w:p>
      <w:pPr>
        <w:ind w:firstLine="420" w:firstLineChars="200"/>
        <w:rPr>
          <w:rFonts w:ascii="宋体" w:hAnsi="宋体" w:cs="宋体"/>
          <w:color w:val="auto"/>
          <w:szCs w:val="21"/>
          <w:highlight w:val="none"/>
        </w:rPr>
      </w:pPr>
      <w:r>
        <w:rPr>
          <w:rFonts w:ascii="宋体" w:hAnsi="宋体" w:cs="宋体" w:hint="eastAsia"/>
          <w:color w:val="auto"/>
          <w:szCs w:val="21"/>
          <w:highlight w:val="none"/>
        </w:rPr>
        <w:t>（2）被质疑供应商提供的资料原件与投标文件资料不一致的；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（3）被质</w:t>
      </w:r>
      <w:r>
        <w:rPr>
          <w:rFonts w:asciiTheme="majorEastAsia" w:eastAsiaTheme="majorEastAsia" w:hAnsiTheme="majorEastAsia" w:cstheme="majorEastAsia" w:hint="eastAsia"/>
          <w:color w:val="auto"/>
          <w:szCs w:val="21"/>
          <w:highlight w:val="none"/>
        </w:rPr>
        <w:t>疑供应商投标文件资料信息与在相应官方查询渠道查询到的信息不一致，且不能合理说明的。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20．投标有效期</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20.1 投标有效期为从投标截止之日算起的日历天数，具体见专用条款中投标有效期的天数要求。在此期限内，所有投标文件均保持有效；</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20.2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但应当相应的延长投标担保有效期；</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20.3 中标单位的投标书有效期，截止于完成本招标文件规定的全部项目内容，并通过竣工验收及保修结束。</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 xml:space="preserve">21．关于投标保证金 </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21.1 </w:t>
      </w:r>
      <w:r>
        <w:rPr>
          <w:rFonts w:asciiTheme="majorEastAsia" w:eastAsiaTheme="majorEastAsia" w:hAnsiTheme="majorEastAsia" w:cstheme="majorEastAsia" w:hint="eastAsia"/>
          <w:color w:val="auto"/>
          <w:highlight w:val="none"/>
        </w:rPr>
        <w:t>根据《深圳市财政局</w:t>
      </w:r>
      <w:r>
        <w:rPr>
          <w:rFonts w:asciiTheme="majorEastAsia" w:eastAsiaTheme="majorEastAsia" w:hAnsiTheme="majorEastAsia" w:cstheme="majorEastAsia" w:hint="eastAsia"/>
          <w:color w:val="auto"/>
          <w:szCs w:val="21"/>
          <w:highlight w:val="none"/>
        </w:rPr>
        <w:t>关于</w:t>
      </w:r>
      <w:r>
        <w:rPr>
          <w:rFonts w:asciiTheme="majorEastAsia" w:eastAsiaTheme="majorEastAsia" w:hAnsiTheme="majorEastAsia" w:cstheme="majorEastAsia" w:hint="eastAsia"/>
          <w:color w:val="auto"/>
          <w:highlight w:val="none"/>
        </w:rPr>
        <w:t>明确政府采购保证金管理工作的通知》（深财购[2019]42号）文的规定，本项目不收取投标保证金。</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22．投标人的替代方案</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22.1投标人所提交的投标文件应完全满足招标文件（包括图纸和技术规范所示的基本技术设计）的要求。除非招标的项目明确允许投标人提交替代方案，否则投标人有关替代方案的条款将初审不通过，投标无效。</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23．投标文件的制作要求</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23.1</w:t>
      </w:r>
      <w:r>
        <w:rPr>
          <w:rFonts w:ascii="宋体" w:hAnsi="宋体" w:cs="宋体" w:hint="eastAsia"/>
          <w:color w:val="auto"/>
          <w:highlight w:val="none"/>
        </w:rPr>
        <w:t>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http://zfcg.szggzy.com/TPBidder/DownLoad/深圳市智慧采购平台投标文件制作专用软件.zip】</w:t>
      </w:r>
      <w:r>
        <w:rPr>
          <w:rFonts w:asciiTheme="majorEastAsia" w:eastAsiaTheme="majorEastAsia" w:hAnsiTheme="majorEastAsia" w:cstheme="majorEastAsia" w:hint="eastAsia"/>
          <w:color w:val="auto"/>
          <w:szCs w:val="21"/>
          <w:highlight w:val="none"/>
        </w:rPr>
        <w:t>。</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23.2投标人在使用《投标书编制软件》编制投标书时须注意：</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23.2.1导入《投标书编制软件》的招标文件项目编号、包号应与以此制作的投标文件项目编号、包号一致。例如，不能将甲项目A包的招标书导入《投标书编制软件》，制作乙项目B包的投标书。</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23.2.2不能用非本公司的电子密钥加密本公司的投标文件，或者用其它公司的登录用户上传本公司的投标文件。</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23.2.3要求用《投标书编制软件》编制投标书的包，不能用其它方式编制投标书。编制投标文件时，电脑须连通互联网。</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23.2.4投标文件不能带病毒。采购代理机构将用专业杀毒软件对投标文件进行病毒检测，如果这两种软件均报告发现病毒，则采购代理机构认为该投标文件带病毒。</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23.2.5完整填写“投标关键信息”，如下图所示：</w:t>
      </w:r>
    </w:p>
    <w:p>
      <w:pPr>
        <w:jc w:val="center"/>
        <w:rPr>
          <w:rFonts w:ascii="宋体" w:hAnsi="宋体"/>
          <w:color w:val="auto"/>
          <w:highlight w:val="none"/>
        </w:rPr>
      </w:pPr>
      <w:r>
        <w:rPr>
          <w:rFonts w:ascii="宋体" w:hAnsi="宋体"/>
          <w:color w:val="auto"/>
          <w:highlight w:val="none"/>
        </w:rPr>
        <w:drawing>
          <wp:inline distT="0" distB="0" distL="114300" distR="114300">
            <wp:extent cx="4946015" cy="2550160"/>
            <wp:effectExtent l="0" t="0" r="6985" b="2540"/>
            <wp:docPr id="11" name="图片 1"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图形用户界面, 应用程序&#10;&#10;描述已自动生成"/>
                    <pic:cNvPicPr>
                      <a:picLocks noChangeAspect="1"/>
                    </pic:cNvPicPr>
                  </pic:nvPicPr>
                  <pic:blipFill>
                    <a:blip xmlns:r="http://schemas.openxmlformats.org/officeDocument/2006/relationships" r:embed="rId10"/>
                    <a:stretch>
                      <a:fillRect/>
                    </a:stretch>
                  </pic:blipFill>
                  <pic:spPr>
                    <a:xfrm>
                      <a:off x="0" y="0"/>
                      <a:ext cx="4946015" cy="2550160"/>
                    </a:xfrm>
                    <a:prstGeom prst="rect">
                      <a:avLst/>
                    </a:prstGeom>
                    <a:noFill/>
                    <a:ln>
                      <a:noFill/>
                    </a:ln>
                  </pic:spPr>
                </pic:pic>
              </a:graphicData>
            </a:graphic>
          </wp:inline>
        </w:drawing>
      </w:r>
    </w:p>
    <w:p>
      <w:pPr>
        <w:ind w:firstLine="412" w:firstLineChars="196"/>
        <w:rPr>
          <w:rFonts w:ascii="宋体" w:hAnsi="宋体"/>
          <w:b/>
          <w:color w:val="auto"/>
          <w:highlight w:val="none"/>
        </w:rPr>
      </w:pPr>
      <w:r>
        <w:rPr>
          <w:rFonts w:ascii="宋体" w:hAnsi="宋体" w:hint="eastAsia"/>
          <w:b/>
          <w:color w:val="auto"/>
          <w:highlight w:val="none"/>
        </w:rPr>
        <w:t>备注：上述“开标一览表”中的“投标总价”将作为价格分计算依据；其它信息仅是对投标文件相关内容的概括性表述，不作为评审依据。</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23.2.6投标人在编辑投标文件时，</w:t>
      </w:r>
      <w:r>
        <w:rPr>
          <w:rFonts w:asciiTheme="majorEastAsia" w:eastAsiaTheme="majorEastAsia" w:hAnsiTheme="majorEastAsia" w:cstheme="majorEastAsia" w:hint="eastAsia"/>
          <w:b/>
          <w:color w:val="auto"/>
          <w:szCs w:val="21"/>
          <w:highlight w:val="none"/>
        </w:rPr>
        <w:t>在投标文件目录中属于本节点内容的必须在本节点中填写，填写到其他节点或附件，</w:t>
      </w:r>
      <w:r>
        <w:rPr>
          <w:rFonts w:asciiTheme="majorEastAsia" w:eastAsiaTheme="majorEastAsia" w:hAnsiTheme="majorEastAsia" w:cstheme="majorEastAsia" w:hint="eastAsia"/>
          <w:color w:val="auto"/>
          <w:szCs w:val="21"/>
          <w:highlight w:val="none"/>
        </w:rPr>
        <w:t>一切后果由供应商自行承担。</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23.2.7投标书编写完成后，</w:t>
      </w:r>
      <w:r>
        <w:rPr>
          <w:rFonts w:asciiTheme="majorEastAsia" w:eastAsiaTheme="majorEastAsia" w:hAnsiTheme="majorEastAsia" w:cstheme="majorEastAsia" w:hint="eastAsia"/>
          <w:b/>
          <w:color w:val="auto"/>
          <w:szCs w:val="21"/>
          <w:highlight w:val="none"/>
        </w:rPr>
        <w:t>必须用属于投标人的电子密钥进行加密，否则视同未盖公章，将导致投标文件无效。</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23.2.8采购代理机构不接受投标截止时间后递交的纸质、电子、传真等所有形式的投标文件。由于对网上招投标操作不熟悉或自身电脑、网络等原因导致不能在投标截止时间之前上传投标文件，采购代理机构概不负责。建议于开标前一个工作日完成投标文件的制作与上传，如上传确有困难，请及时咨询。</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23.2.9如果开标时出现网络故障、技术故障，影响了招投标活动，采购代理机构有权采取措施如延期、接受无法从网上上传的投标书等，以保障招投标活动的公开、公平和公正。</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23.3电报、电话、传真形式的投标概不接受。</w:t>
      </w:r>
    </w:p>
    <w:p>
      <w:pPr>
        <w:spacing w:line="440" w:lineRule="exact"/>
        <w:ind w:firstLine="412" w:firstLineChars="196"/>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23.4经投标人电子密钥加密的投标文件无须盖章或签字，</w:t>
      </w:r>
      <w:r>
        <w:rPr>
          <w:rFonts w:asciiTheme="majorEastAsia" w:eastAsiaTheme="majorEastAsia" w:hAnsiTheme="majorEastAsia" w:cstheme="majorEastAsia" w:hint="eastAsia"/>
          <w:color w:val="auto"/>
          <w:szCs w:val="21"/>
          <w:highlight w:val="none"/>
        </w:rPr>
        <w:t>专用条款另有要求的除外。</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b/>
          <w:color w:val="auto"/>
          <w:szCs w:val="21"/>
          <w:highlight w:val="none"/>
        </w:rPr>
        <w:t>23.5</w:t>
      </w:r>
      <w:r>
        <w:rPr>
          <w:rFonts w:asciiTheme="majorEastAsia" w:eastAsiaTheme="majorEastAsia" w:hAnsiTheme="majorEastAsia" w:cstheme="majorEastAsia" w:hint="eastAsia"/>
          <w:color w:val="auto"/>
          <w:szCs w:val="21"/>
          <w:highlight w:val="none"/>
        </w:rPr>
        <w:t xml:space="preserve"> 资格证明文件提供扫描件，专用条款另有要求的除外。</w:t>
      </w:r>
    </w:p>
    <w:p>
      <w:pPr>
        <w:pStyle w:val="Heading2"/>
        <w:numPr>
          <w:ilvl w:val="0"/>
          <w:numId w:val="8"/>
        </w:numPr>
        <w:spacing w:before="120" w:after="120" w:line="440" w:lineRule="exact"/>
        <w:ind w:left="482" w:hanging="482"/>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 xml:space="preserve">  投标文件的递交</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24．投标书的保密</w:t>
      </w:r>
    </w:p>
    <w:p>
      <w:pPr>
        <w:ind w:firstLine="412" w:firstLineChars="196"/>
        <w:rPr>
          <w:rFonts w:ascii="宋体" w:hAnsi="宋体" w:cs="宋体"/>
          <w:color w:val="auto"/>
          <w:highlight w:val="none"/>
        </w:rPr>
      </w:pPr>
      <w:r>
        <w:rPr>
          <w:rFonts w:asciiTheme="majorEastAsia" w:eastAsiaTheme="majorEastAsia" w:hAnsiTheme="majorEastAsia" w:cstheme="majorEastAsia" w:hint="eastAsia"/>
          <w:color w:val="auto"/>
          <w:szCs w:val="21"/>
          <w:highlight w:val="none"/>
        </w:rPr>
        <w:t>24.1</w:t>
      </w:r>
      <w:r>
        <w:rPr>
          <w:rFonts w:ascii="宋体" w:hAnsi="宋体" w:hint="eastAsia"/>
          <w:color w:val="auto"/>
          <w:highlight w:val="none"/>
        </w:rPr>
        <w:t>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r>
        <w:rPr>
          <w:rFonts w:ascii="宋体" w:hAnsi="宋体" w:cs="宋体" w:hint="eastAsia"/>
          <w:color w:val="auto"/>
          <w:highlight w:val="none"/>
        </w:rPr>
        <w:t>：</w:t>
      </w:r>
    </w:p>
    <w:p>
      <w:pPr>
        <w:widowControl/>
        <w:jc w:val="left"/>
        <w:rPr>
          <w:rFonts w:ascii="宋体" w:hAnsi="宋体" w:cs="宋体"/>
          <w:color w:val="auto"/>
          <w:kern w:val="0"/>
          <w:sz w:val="24"/>
          <w:highlight w:val="none"/>
        </w:rPr>
      </w:pPr>
      <w:r>
        <w:rPr>
          <w:rFonts w:ascii="宋体" w:hAnsi="宋体"/>
          <w:color w:val="auto"/>
          <w:highlight w:val="none"/>
        </w:rPr>
        <w:drawing>
          <wp:inline distT="0" distB="0" distL="114300" distR="114300">
            <wp:extent cx="5278755" cy="2721610"/>
            <wp:effectExtent l="0" t="0" r="17145" b="2540"/>
            <wp:docPr id="13" name="图片 2"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图形用户界面, 应用程序&#10;&#10;描述已自动生成"/>
                    <pic:cNvPicPr>
                      <a:picLocks noChangeAspect="1"/>
                    </pic:cNvPicPr>
                  </pic:nvPicPr>
                  <pic:blipFill>
                    <a:blip xmlns:r="http://schemas.openxmlformats.org/officeDocument/2006/relationships" r:embed="rId10"/>
                    <a:stretch>
                      <a:fillRect/>
                    </a:stretch>
                  </pic:blipFill>
                  <pic:spPr>
                    <a:xfrm>
                      <a:off x="0" y="0"/>
                      <a:ext cx="5278755" cy="2721610"/>
                    </a:xfrm>
                    <a:prstGeom prst="rect">
                      <a:avLst/>
                    </a:prstGeom>
                    <a:noFill/>
                    <a:ln>
                      <a:noFill/>
                    </a:ln>
                  </pic:spPr>
                </pic:pic>
              </a:graphicData>
            </a:graphic>
          </wp:inline>
        </w:drawing>
      </w:r>
    </w:p>
    <w:p>
      <w:pPr>
        <w:ind w:firstLine="412" w:firstLineChars="196"/>
        <w:rPr>
          <w:rFonts w:ascii="宋体" w:hAnsi="宋体"/>
          <w:color w:val="auto"/>
          <w:highlight w:val="none"/>
        </w:rPr>
      </w:pPr>
      <w:r>
        <w:rPr>
          <w:rFonts w:ascii="宋体" w:hAnsi="宋体" w:hint="eastAsia"/>
          <w:color w:val="auto"/>
          <w:highlight w:val="none"/>
        </w:rPr>
        <w:t>在投标文件制作软件点击【生成标书】按钮进入【填写开标一览表界面】界面，在该界面填写完开标一览表信息后点击【确定】，进入投标文件生成环节</w:t>
      </w:r>
    </w:p>
    <w:p>
      <w:pPr>
        <w:jc w:val="center"/>
        <w:rPr>
          <w:rFonts w:ascii="宋体" w:hAnsi="宋体" w:cs="宋体"/>
          <w:color w:val="auto"/>
          <w:sz w:val="24"/>
          <w:highlight w:val="none"/>
        </w:rPr>
      </w:pPr>
      <w:r>
        <w:rPr>
          <w:rFonts w:ascii="宋体" w:hAnsi="宋体"/>
          <w:color w:val="auto"/>
          <w:highlight w:val="none"/>
        </w:rPr>
        <w:drawing>
          <wp:inline distT="0" distB="0" distL="114300" distR="114300">
            <wp:extent cx="5278755" cy="2732405"/>
            <wp:effectExtent l="0" t="0" r="17145" b="10795"/>
            <wp:docPr id="12" name="图片 3"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图形用户界面&#10;&#10;描述已自动生成"/>
                    <pic:cNvPicPr>
                      <a:picLocks noChangeAspect="1"/>
                    </pic:cNvPicPr>
                  </pic:nvPicPr>
                  <pic:blipFill>
                    <a:blip xmlns:r="http://schemas.openxmlformats.org/officeDocument/2006/relationships" r:embed="rId11"/>
                    <a:stretch>
                      <a:fillRect/>
                    </a:stretch>
                  </pic:blipFill>
                  <pic:spPr>
                    <a:xfrm>
                      <a:off x="0" y="0"/>
                      <a:ext cx="5278755" cy="2732405"/>
                    </a:xfrm>
                    <a:prstGeom prst="rect">
                      <a:avLst/>
                    </a:prstGeom>
                    <a:noFill/>
                    <a:ln>
                      <a:noFill/>
                    </a:ln>
                  </pic:spPr>
                </pic:pic>
              </a:graphicData>
            </a:graphic>
          </wp:inline>
        </w:drawing>
      </w:r>
    </w:p>
    <w:p>
      <w:pPr>
        <w:widowControl/>
        <w:ind w:firstLine="412" w:firstLineChars="196"/>
        <w:jc w:val="left"/>
        <w:rPr>
          <w:rFonts w:asciiTheme="majorEastAsia" w:eastAsiaTheme="majorEastAsia" w:hAnsiTheme="majorEastAsia" w:cstheme="majorEastAsia"/>
          <w:color w:val="auto"/>
          <w:szCs w:val="21"/>
          <w:highlight w:val="none"/>
        </w:rPr>
      </w:pPr>
      <w:r>
        <w:rPr>
          <w:rFonts w:ascii="宋体" w:hAnsi="宋体" w:cs="宋体" w:hint="eastAsia"/>
          <w:b/>
          <w:color w:val="auto"/>
          <w:highlight w:val="none"/>
        </w:rPr>
        <w:t xml:space="preserve"> </w:t>
      </w:r>
      <w:r>
        <w:rPr>
          <w:rFonts w:ascii="宋体" w:hAnsi="宋体" w:hint="eastAsia"/>
          <w:color w:val="auto"/>
          <w:highlight w:val="none"/>
        </w:rPr>
        <w:t>投标文件制作软件会在投标文件生成过程中，提示用户输入密码，输入密码后对标文件自动进行加密。</w:t>
      </w:r>
    </w:p>
    <w:p>
      <w:pPr>
        <w:spacing w:line="440" w:lineRule="exact"/>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color w:val="auto"/>
          <w:szCs w:val="21"/>
          <w:highlight w:val="none"/>
        </w:rPr>
        <w:t xml:space="preserve">   </w:t>
      </w:r>
      <w:r>
        <w:rPr>
          <w:rFonts w:asciiTheme="majorEastAsia" w:eastAsiaTheme="majorEastAsia" w:hAnsiTheme="majorEastAsia" w:cstheme="majorEastAsia" w:hint="eastAsia"/>
          <w:b/>
          <w:color w:val="auto"/>
          <w:szCs w:val="21"/>
          <w:highlight w:val="none"/>
        </w:rPr>
        <w:t xml:space="preserve"> 24.2若采购项目出现延期情况：</w:t>
      </w:r>
    </w:p>
    <w:p>
      <w:pPr>
        <w:ind w:firstLine="420" w:firstLineChars="200"/>
        <w:rPr>
          <w:rFonts w:ascii="宋体" w:hAnsi="宋体" w:cs="宋体"/>
          <w:b/>
          <w:color w:val="auto"/>
          <w:sz w:val="24"/>
          <w:highlight w:val="none"/>
        </w:rPr>
      </w:pPr>
      <w:r>
        <w:rPr>
          <w:rFonts w:ascii="宋体" w:hAnsi="宋体" w:hint="eastAsia"/>
          <w:b/>
          <w:color w:val="auto"/>
          <w:highlight w:val="none"/>
        </w:rPr>
        <w:t>如果供下载的招标文件（后缀名为.</w:t>
      </w:r>
      <w:r>
        <w:rPr>
          <w:rFonts w:ascii="宋体" w:hAnsi="宋体"/>
          <w:b/>
          <w:color w:val="auto"/>
          <w:highlight w:val="none"/>
        </w:rPr>
        <w:t>szczf</w:t>
      </w:r>
      <w:r>
        <w:rPr>
          <w:rFonts w:ascii="宋体" w:hAnsi="宋体" w:hint="eastAsia"/>
          <w:b/>
          <w:color w:val="auto"/>
          <w:highlight w:val="none"/>
        </w:rPr>
        <w:t>）有更新，投标人必须重新下载招标文件、重新制作投标文件、重新加密投标文件、重新上传投标文件；如果供下载的招标文件（后缀名为.</w:t>
      </w:r>
      <w:r>
        <w:rPr>
          <w:rFonts w:ascii="宋体" w:hAnsi="宋体"/>
          <w:b/>
          <w:color w:val="auto"/>
          <w:highlight w:val="none"/>
        </w:rPr>
        <w:t>szczf</w:t>
      </w:r>
      <w:r>
        <w:rPr>
          <w:rFonts w:ascii="宋体" w:hAnsi="宋体" w:hint="eastAsia"/>
          <w:b/>
          <w:color w:val="auto"/>
          <w:highlight w:val="none"/>
        </w:rPr>
        <w:t>）没有更新，投标人必须重新加密投标文件、重新上传投标文件（是否重新制作投标文件根据项目实际情况定）。否则，投标人自行承担投标文件无法解密导致投标无效的后果</w:t>
      </w:r>
      <w:r>
        <w:rPr>
          <w:rFonts w:ascii="宋体" w:hAnsi="宋体" w:cs="宋体" w:hint="eastAsia"/>
          <w:b/>
          <w:color w:val="auto"/>
          <w:highlight w:val="none"/>
        </w:rPr>
        <w:t>。</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25．投标截止日期</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25.1</w:t>
      </w:r>
      <w:r>
        <w:rPr>
          <w:rFonts w:ascii="宋体" w:hAnsi="宋体" w:hint="eastAsia"/>
          <w:color w:val="auto"/>
          <w:highlight w:val="none"/>
        </w:rPr>
        <w:t>实行网上投标，</w:t>
      </w:r>
      <w:r>
        <w:rPr>
          <w:rFonts w:ascii="宋体" w:hAnsi="宋体"/>
          <w:color w:val="auto"/>
          <w:highlight w:val="none"/>
        </w:rPr>
        <w:t>投标人必须</w:t>
      </w:r>
      <w:r>
        <w:rPr>
          <w:rFonts w:ascii="宋体" w:hAnsi="宋体" w:hint="eastAsia"/>
          <w:color w:val="auto"/>
          <w:highlight w:val="none"/>
        </w:rPr>
        <w:t>在招标</w:t>
      </w:r>
      <w:r>
        <w:rPr>
          <w:rFonts w:ascii="宋体" w:hAnsi="宋体"/>
          <w:color w:val="auto"/>
          <w:highlight w:val="none"/>
        </w:rPr>
        <w:t>文件规定的投标截止时间前</w:t>
      </w:r>
      <w:r>
        <w:rPr>
          <w:rFonts w:ascii="宋体" w:hAnsi="宋体" w:hint="eastAsia"/>
          <w:color w:val="auto"/>
          <w:highlight w:val="none"/>
        </w:rPr>
        <w:t>用电子密钥登录“深圳政府采购智慧平台用户网上办事子系统（http://zfcg.szggzy.com/TPBidder/memberLogin）”，用“【我的项目】→【项目流程】→【递交投标(应答)文件】”功能点上传投标文件。如果确有困难，多次上传均告失败，请在投标截止时间之前携带加密后的电子投标文件送达至</w:t>
      </w:r>
      <w:r>
        <w:rPr>
          <w:rFonts w:ascii="宋体" w:hAnsi="宋体" w:hint="eastAsia"/>
          <w:b/>
          <w:bCs/>
          <w:color w:val="auto"/>
          <w:szCs w:val="21"/>
          <w:highlight w:val="none"/>
        </w:rPr>
        <w:t>深圳公共资源交易中心（深圳交易集团有限公司政府采购业务分公司）3楼304室（地址：深圳市福田区景田路70号雅枫国际酒店北侧交易集团评审区三楼），联系方式：83948100，83938584，83938599</w:t>
      </w:r>
      <w:r>
        <w:rPr>
          <w:rFonts w:asciiTheme="majorEastAsia" w:eastAsiaTheme="majorEastAsia" w:hAnsiTheme="majorEastAsia" w:cstheme="majorEastAsia" w:hint="eastAsia"/>
          <w:color w:val="auto"/>
          <w:szCs w:val="21"/>
          <w:highlight w:val="none"/>
        </w:rPr>
        <w:t>。</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25.2采购代理机构可以按本通用条款第13条规定，通过修改招标文件自行决定酌情延长投标截止期。在此情况下，采购代理机构、采购人和投标人受投标截止期制约的所有权利和义务均应延长至新的截止期。</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25.3投标截止时间以后不得上传投标文件。</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26. 样品、现场演示、方案讲解</w:t>
      </w:r>
    </w:p>
    <w:p>
      <w:pPr>
        <w:spacing w:line="440" w:lineRule="exact"/>
        <w:ind w:firstLine="412" w:firstLineChars="196"/>
        <w:rPr>
          <w:rFonts w:ascii="宋体" w:hAnsi="宋体"/>
          <w:color w:val="auto"/>
          <w:szCs w:val="21"/>
          <w:highlight w:val="none"/>
        </w:rPr>
      </w:pPr>
      <w:r>
        <w:rPr>
          <w:rFonts w:ascii="宋体" w:hAnsi="宋体" w:hint="eastAsia"/>
          <w:color w:val="auto"/>
          <w:szCs w:val="21"/>
          <w:highlight w:val="none"/>
        </w:rPr>
        <w:t>26.1 样品、现场演示、方案讲解等事项在招标文件专用条款中进行规定。</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27．投标文件的修改和撤销</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27.1投标方在提交投标文件后可对其投标文件进行修改并重新上传投标文件或在网上进行撤回投标的操作。</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27.2投标截止时间以后不得修改投标文件。</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27.3从投标截止期至投标人在投标书中确定的投标有效期之间的这段时间内，投标人不得撤销其投标。</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27.4采购代理机构不退还投标文件，专用条款另有规定的除外。</w:t>
      </w:r>
    </w:p>
    <w:p>
      <w:pPr>
        <w:pStyle w:val="Heading2"/>
        <w:numPr>
          <w:ilvl w:val="0"/>
          <w:numId w:val="8"/>
        </w:numPr>
        <w:spacing w:before="120" w:after="120" w:line="440" w:lineRule="exact"/>
        <w:ind w:left="482" w:hanging="482"/>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 xml:space="preserve">  开标</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28．开标</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28.1</w:t>
      </w:r>
      <w:r>
        <w:rPr>
          <w:rFonts w:ascii="宋体" w:hAnsi="宋体" w:hint="eastAsia"/>
          <w:color w:val="auto"/>
          <w:highlight w:val="none"/>
        </w:rPr>
        <w:t>投标人须在开标当日的开标时间至解密截止时间内进行解密，逾期未解密的作无效处理。解密方法：登录“深圳政府采购智慧平台用户网上办事子系统（</w:t>
      </w:r>
      <w:r>
        <w:rPr>
          <w:rFonts w:ascii="宋体" w:hAnsi="宋体"/>
          <w:color w:val="auto"/>
          <w:highlight w:val="none"/>
        </w:rPr>
        <w:t>http://zfcg.szggzy.com/</w:t>
      </w:r>
      <w:r>
        <w:rPr>
          <w:rFonts w:ascii="宋体" w:hAnsi="宋体" w:hint="eastAsia"/>
          <w:color w:val="auto"/>
          <w:highlight w:val="none"/>
        </w:rPr>
        <w:t>TPBidder/memberLogin）”，使用本单位制作电子投标文件同一个电子密钥，在“【我的项目】→【项目流程】→【开标及解密】”进行在线解密、查询开标情况</w:t>
      </w:r>
      <w:r>
        <w:rPr>
          <w:rFonts w:asciiTheme="majorEastAsia" w:eastAsiaTheme="majorEastAsia" w:hAnsiTheme="majorEastAsia" w:cstheme="majorEastAsia" w:hint="eastAsia"/>
          <w:color w:val="auto"/>
          <w:szCs w:val="21"/>
          <w:highlight w:val="none"/>
        </w:rPr>
        <w:t>。</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28.2 采购代理机构</w:t>
      </w:r>
      <w:r>
        <w:rPr>
          <w:rFonts w:ascii="宋体" w:hAnsi="宋体" w:hint="eastAsia"/>
          <w:color w:val="auto"/>
          <w:szCs w:val="21"/>
          <w:highlight w:val="none"/>
        </w:rPr>
        <w:t>将在满足开标条件（</w:t>
      </w:r>
      <w:r>
        <w:rPr>
          <w:rFonts w:ascii="宋体" w:hAnsi="宋体" w:cs="宋体" w:hint="eastAsia"/>
          <w:color w:val="auto"/>
          <w:sz w:val="20"/>
          <w:szCs w:val="20"/>
          <w:highlight w:val="none"/>
          <w:shd w:val="clear" w:color="auto" w:fill="FFFFFF"/>
        </w:rPr>
        <w:t>①</w:t>
      </w:r>
      <w:r>
        <w:rPr>
          <w:rFonts w:ascii="宋体" w:hAnsi="宋体" w:hint="eastAsia"/>
          <w:color w:val="auto"/>
          <w:szCs w:val="21"/>
          <w:highlight w:val="none"/>
        </w:rPr>
        <w:t>解密时间结束，解密后的投标供应商数量满足开标要求或</w:t>
      </w:r>
      <w:r>
        <w:rPr>
          <w:rFonts w:ascii="宋体" w:hAnsi="宋体" w:cs="宋体" w:hint="eastAsia"/>
          <w:color w:val="auto"/>
          <w:sz w:val="20"/>
          <w:szCs w:val="20"/>
          <w:highlight w:val="none"/>
          <w:shd w:val="clear" w:color="auto" w:fill="FFFFFF"/>
        </w:rPr>
        <w:t>②</w:t>
      </w:r>
      <w:r>
        <w:rPr>
          <w:rFonts w:ascii="宋体" w:hAnsi="宋体" w:hint="eastAsia"/>
          <w:color w:val="auto"/>
          <w:szCs w:val="21"/>
          <w:highlight w:val="none"/>
        </w:rPr>
        <w:t>解密时间结束前所有投标供应商均完成投标文件解密）后，对投标文件进行开标，并在网上公布开标结果</w:t>
      </w:r>
      <w:r>
        <w:rPr>
          <w:rFonts w:asciiTheme="majorEastAsia" w:eastAsiaTheme="majorEastAsia" w:hAnsiTheme="majorEastAsia" w:cstheme="majorEastAsia" w:hint="eastAsia"/>
          <w:color w:val="auto"/>
          <w:szCs w:val="21"/>
          <w:highlight w:val="none"/>
        </w:rPr>
        <w:t>。</w:t>
      </w:r>
    </w:p>
    <w:p>
      <w:pPr>
        <w:pStyle w:val="Heading2"/>
        <w:numPr>
          <w:ilvl w:val="0"/>
          <w:numId w:val="8"/>
        </w:numPr>
        <w:spacing w:before="120" w:after="120" w:line="440" w:lineRule="exact"/>
        <w:ind w:left="482" w:hanging="482"/>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 xml:space="preserve">  评标要求</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29．评审委员会组成</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29.1网上开标结束后召开评标会议，评审委员会由采购代理机构依法组建，负责评标活动。</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评审委员会由采购人代表和评审专家组成，成员人数为五人以上的单数。评定分离项目评审专家均由评审专家组成。采购人代表须持本单位签发的《评标授权书》参加评标。</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29.2评标定标应当遵循公平、公正、科学、择优的原则。</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29.3评标活动依法进行，任何单位和个人不得非法干预评标过程和结果。</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29.4评标过程中不允许违背评标程序或采用招标文件未载明的评标方法或评标因素进行评标。</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29.5 开标后，直到签订合同为止，凡属于对投标文件的审查、澄清、评价和比较的有关资料以及中标候选人的推荐情况、与评标有关的其他任何情况均严格保密（</w:t>
      </w:r>
      <w:r>
        <w:rPr>
          <w:rFonts w:asciiTheme="majorEastAsia" w:eastAsiaTheme="majorEastAsia" w:hAnsiTheme="majorEastAsia" w:cstheme="majorEastAsia" w:hint="eastAsia"/>
          <w:color w:val="auto"/>
          <w:szCs w:val="21"/>
          <w:highlight w:val="none"/>
        </w:rPr>
        <w:t>信息公开的内容除外</w:t>
      </w:r>
      <w:r>
        <w:rPr>
          <w:rFonts w:asciiTheme="majorEastAsia" w:eastAsiaTheme="majorEastAsia" w:hAnsiTheme="majorEastAsia" w:cstheme="majorEastAsia" w:hint="eastAsia"/>
          <w:bCs/>
          <w:color w:val="auto"/>
          <w:szCs w:val="21"/>
          <w:highlight w:val="none"/>
        </w:rPr>
        <w:t>）。</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30．向评审委员会提供的资料</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30.1公开发布的招标文件，包括图纸、服务清单、答疑文件等；</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30.2其他评标必须的资料。</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30.3评审委员会应当认真研究招标文件，至少应了解熟悉以下内容：</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（1）招标的目的；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（2）招标项目需求的范围和性质；</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（3）招标文件规定的投标人的资格、财政预算限额、商务条款；</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（4）招标文件规定的评标程序、评标方法和评标因素；</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（5）招标文件所列示的资格性审查表及符合性审查表。</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31．独立评标</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30.1</w:t>
      </w:r>
      <w:r>
        <w:rPr>
          <w:rFonts w:asciiTheme="majorEastAsia" w:eastAsiaTheme="majorEastAsia" w:hAnsiTheme="majorEastAsia" w:cstheme="majorEastAsia" w:hint="eastAsia"/>
          <w:color w:val="auto"/>
          <w:szCs w:val="21"/>
          <w:highlight w:val="none"/>
        </w:rPr>
        <w:t>评审委员会</w:t>
      </w:r>
      <w:r>
        <w:rPr>
          <w:rFonts w:asciiTheme="majorEastAsia" w:eastAsiaTheme="majorEastAsia" w:hAnsiTheme="majorEastAsia" w:cstheme="majorEastAsia" w:hint="eastAsia"/>
          <w:bCs/>
          <w:color w:val="auto"/>
          <w:szCs w:val="21"/>
          <w:highlight w:val="none"/>
        </w:rPr>
        <w:t>成员的评标活动应当独立进行，并应遵循投标文件初审、澄清有关问题、比较与评价、确定中标供应商、编写评标报告的工作程序。</w:t>
      </w:r>
    </w:p>
    <w:p>
      <w:pPr>
        <w:pStyle w:val="Heading2"/>
        <w:numPr>
          <w:ilvl w:val="0"/>
          <w:numId w:val="8"/>
        </w:numPr>
        <w:spacing w:before="120" w:after="120" w:line="440" w:lineRule="exact"/>
        <w:ind w:left="482" w:hanging="482"/>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 xml:space="preserve">  评标程序及评标方法</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32．投标文件初审</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pPr>
        <w:autoSpaceDE w:val="0"/>
        <w:autoSpaceDN w:val="0"/>
        <w:adjustRightInd w:val="0"/>
        <w:spacing w:line="440" w:lineRule="exact"/>
        <w:jc w:val="left"/>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color w:val="auto"/>
          <w:szCs w:val="21"/>
          <w:highlight w:val="none"/>
        </w:rPr>
        <w:t xml:space="preserve">    32.2 </w:t>
      </w:r>
      <w:r>
        <w:rPr>
          <w:rFonts w:asciiTheme="majorEastAsia" w:eastAsiaTheme="majorEastAsia" w:hAnsiTheme="majorEastAsia" w:cstheme="majorEastAsia" w:hint="eastAsia"/>
          <w:bCs/>
          <w:color w:val="auto"/>
          <w:szCs w:val="21"/>
          <w:highlight w:val="none"/>
        </w:rPr>
        <w:t>投标文件初审内容请详见《资格性审查表》和《符合性审查表》部分。投标人若有一条审查不通过则按投标无效处理。</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32.3 投标文件初审中关于供应商家数的计算：【适用于货物采购类项目】</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32.3.3非单一产品采购项目，采购人应当根据采购项目技术构成、产品价格比重等合理确定核心产品，并在招标文件中载明。多家投标人提供的核心产品品牌完全相同的，按前两款规定处理。</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32.4投标人投标文件作无效处理的情形，具体包括但不限于以下：</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32.4.1不同投标人的投标文件由同一单位或者同一个人编制，或者由同一个人分阶段参与编制；</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32.4.2不同投标人委托同一单位或者个人办理投标事宜；</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32.4.3不同投标人的投标文件载明的项目管理成员或者联系人员为同一人；</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32.4.4不同投标人的投标文件异常一致或者投标报价呈规律性差异；</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32.4.5</w:t>
      </w:r>
      <w:r>
        <w:rPr>
          <w:rFonts w:asciiTheme="majorEastAsia" w:eastAsiaTheme="majorEastAsia" w:hAnsiTheme="majorEastAsia" w:cstheme="majorEastAsia" w:hint="eastAsia"/>
          <w:bCs/>
          <w:color w:val="auto"/>
          <w:kern w:val="0"/>
          <w:szCs w:val="21"/>
          <w:highlight w:val="none"/>
        </w:rPr>
        <w:t>不同投标供应商的投标文件或部分投标文件相互混装</w:t>
      </w:r>
      <w:r>
        <w:rPr>
          <w:rFonts w:asciiTheme="majorEastAsia" w:eastAsiaTheme="majorEastAsia" w:hAnsiTheme="majorEastAsia" w:cstheme="majorEastAsia" w:hint="eastAsia"/>
          <w:bCs/>
          <w:color w:val="auto"/>
          <w:szCs w:val="21"/>
          <w:highlight w:val="none"/>
        </w:rPr>
        <w:t>；</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32.4.6投标供应商之间相互约定给予未中标的供应商利益补偿；</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32.4.7不同投标供应商的法定代表人、主要经营负责人、项目投标授权代表人、项目负责人、主要技术人员为同一人、属同一单位或者同一单位缴纳社会保险；</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32.4.8不同投标供应商的投标文件内容存在非正常一致；</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32.4.9在同一单位工作人员为两家以上（含两家）供应商进行同一项投标活动；</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32.4.10主管部门依照法律、法规认定的其他情形。</w:t>
      </w:r>
    </w:p>
    <w:p>
      <w:pPr>
        <w:spacing w:line="44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32.5对不属于《资格性审查表》和《符合性审查表》所列的其他情形，除专用条款另有规定和32.4条款所列情形外，不得作为投标无效的理由。</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33．澄清有关问题</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对于投标文件中含义不明确、同类问题表述不一致或者有明显文字和计算错误的内容，评审委员会应当以书面形式要求投标人作出必要的澄清、说明或者补正。</w:t>
      </w:r>
    </w:p>
    <w:p>
      <w:pPr>
        <w:spacing w:line="440" w:lineRule="exact"/>
        <w:jc w:val="left"/>
        <w:textAlignment w:val="baseline"/>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投标人的澄清、说明或者补正应当采用书面形式，并加盖公章，或者由法定代表人或其授权的代表签字。投标人的澄清、说明或者补正不得超出投标文件的范围或者改变投标文件的实质性内容。</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根据本通用条款第34条，凡属于评审委员会在评审中发现的算术错误进行核实的修改不在此列。</w:t>
      </w:r>
    </w:p>
    <w:p>
      <w:pPr>
        <w:spacing w:line="440" w:lineRule="exact"/>
        <w:ind w:firstLine="420" w:firstLineChars="200"/>
        <w:rPr>
          <w:rFonts w:asciiTheme="majorEastAsia" w:eastAsiaTheme="majorEastAsia" w:hAnsiTheme="majorEastAsia" w:cstheme="majorEastAsia"/>
          <w:b/>
          <w:color w:val="auto"/>
          <w:szCs w:val="21"/>
          <w:highlight w:val="none"/>
        </w:rPr>
      </w:pPr>
      <w:bookmarkStart w:id="32" w:name="_Toc73518151"/>
      <w:bookmarkStart w:id="33" w:name="_Toc73521669"/>
      <w:bookmarkStart w:id="34" w:name="_Toc73517673"/>
      <w:bookmarkStart w:id="35" w:name="_Toc100052400"/>
      <w:bookmarkStart w:id="36" w:name="_Toc73521581"/>
      <w:r>
        <w:rPr>
          <w:rFonts w:asciiTheme="majorEastAsia" w:eastAsiaTheme="majorEastAsia" w:hAnsiTheme="majorEastAsia" w:cstheme="majorEastAsia" w:hint="eastAsia"/>
          <w:b/>
          <w:color w:val="auto"/>
          <w:szCs w:val="21"/>
          <w:highlight w:val="none"/>
        </w:rPr>
        <w:t>34．错误的修正</w:t>
      </w:r>
      <w:bookmarkEnd w:id="32"/>
      <w:bookmarkEnd w:id="33"/>
      <w:bookmarkEnd w:id="34"/>
      <w:bookmarkEnd w:id="35"/>
      <w:bookmarkEnd w:id="36"/>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投标文件报价出现前后不一致的，除专用条款另有规定外，按照下列规定修正：</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34.1投标文件中开标一览表内容与投标文件中相应内容不一致的，以开标一览表为准；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34.2大写金额和小写金额不一致的，以大写金额为准；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34.3单价金额小数点或者百分比有明显错位，以开标一览表的总价为准，并修改单价；</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34.4总价金额与按单价汇总金额不一致的，以单价金额计算结果为准。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34.5同时出现两种以上不一致的，按照前款规定的顺序修正。修正后的报价按照本通用条款33条的规定，经投标人确认后产生约束力，投标人不确认的，其投标无效。</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35．投标文件的比较与评价</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评审委员会成员对需要共同认定的事项存在争议的，应当按照少数服从多数的原则作出结论。持不同意见的评审委员会成员应当在评标报告上签署不同意见及理由，否则视为同意评标报告。</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36. 实地考察、演示或设备测试</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36.1在招标过程中，评审委员会有权决定是否对本项目投标人进行现场勘察或实地考察或检验有关证明材料的原件。投标人应随时做好接受检查的准备。</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36.2若招标文件要求进行现场演示或设备测试的，投标人应做好相应准备。</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37．</w:t>
      </w:r>
      <w:r>
        <w:rPr>
          <w:rFonts w:asciiTheme="majorEastAsia" w:eastAsiaTheme="majorEastAsia" w:hAnsiTheme="majorEastAsia" w:cstheme="majorEastAsia" w:hint="eastAsia"/>
          <w:b/>
          <w:bCs/>
          <w:color w:val="auto"/>
          <w:szCs w:val="21"/>
          <w:highlight w:val="none"/>
        </w:rPr>
        <w:t>深圳经济特区政府采购条例实施细则规定的</w:t>
      </w:r>
      <w:r>
        <w:rPr>
          <w:rFonts w:asciiTheme="majorEastAsia" w:eastAsiaTheme="majorEastAsia" w:hAnsiTheme="majorEastAsia" w:cstheme="majorEastAsia" w:hint="eastAsia"/>
          <w:b/>
          <w:color w:val="auto"/>
          <w:szCs w:val="21"/>
          <w:highlight w:val="none"/>
        </w:rPr>
        <w:t>评标方法</w:t>
      </w:r>
    </w:p>
    <w:p>
      <w:pPr>
        <w:spacing w:line="440" w:lineRule="exact"/>
        <w:ind w:firstLine="412" w:firstLineChars="196"/>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37.1评标方法的三种类型：</w:t>
      </w:r>
    </w:p>
    <w:p>
      <w:pPr>
        <w:spacing w:line="440" w:lineRule="exact"/>
        <w:ind w:firstLine="412" w:firstLineChars="196"/>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37.1.1最低价法</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color w:val="auto"/>
          <w:szCs w:val="21"/>
          <w:highlight w:val="none"/>
        </w:rPr>
        <w:t>最低价法，是指</w:t>
      </w:r>
      <w:r>
        <w:rPr>
          <w:rFonts w:asciiTheme="majorEastAsia" w:eastAsiaTheme="majorEastAsia" w:hAnsiTheme="majorEastAsia" w:cstheme="majorEastAsia" w:hint="eastAsia"/>
          <w:color w:val="auto"/>
          <w:kern w:val="0"/>
          <w:szCs w:val="21"/>
          <w:highlight w:val="none"/>
        </w:rPr>
        <w:t>完全满足招标文件的实质性要求，按照报价由低到高的顺序，依据招标文件中规定的数量或者比例推荐候选中标供应商</w:t>
      </w:r>
      <w:r>
        <w:rPr>
          <w:rFonts w:asciiTheme="majorEastAsia" w:eastAsiaTheme="majorEastAsia" w:hAnsiTheme="majorEastAsia" w:cstheme="majorEastAsia" w:hint="eastAsia"/>
          <w:color w:val="auto"/>
          <w:szCs w:val="21"/>
          <w:highlight w:val="none"/>
        </w:rPr>
        <w:t>。</w:t>
      </w:r>
    </w:p>
    <w:p>
      <w:pPr>
        <w:spacing w:line="440" w:lineRule="exact"/>
        <w:ind w:firstLine="412" w:firstLineChars="196"/>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37.1.2综合评分法</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szCs w:val="21"/>
          <w:highlight w:val="none"/>
        </w:rPr>
        <w:t>综合评分法，</w:t>
      </w:r>
      <w:r>
        <w:rPr>
          <w:rFonts w:asciiTheme="majorEastAsia" w:eastAsiaTheme="majorEastAsia" w:hAnsiTheme="majorEastAsia" w:cstheme="majorEastAsia" w:hint="eastAsia"/>
          <w:color w:val="auto"/>
          <w:kern w:val="0"/>
          <w:szCs w:val="21"/>
          <w:highlight w:val="none"/>
        </w:rPr>
        <w:t>在最大限度地满足招标文件实质性要求的前提下，按照招标文件中规定的各项因素进行综合评审，评标总得分排名前列的投标人，作为推荐的候选中标供应商。</w:t>
      </w:r>
    </w:p>
    <w:p>
      <w:pPr>
        <w:spacing w:line="440" w:lineRule="exact"/>
        <w:ind w:firstLine="412" w:firstLineChars="196"/>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37.1.3定性评审法</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color w:val="auto"/>
          <w:kern w:val="0"/>
          <w:szCs w:val="21"/>
          <w:highlight w:val="none"/>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r>
        <w:rPr>
          <w:rFonts w:asciiTheme="majorEastAsia" w:eastAsiaTheme="majorEastAsia" w:hAnsiTheme="majorEastAsia" w:cstheme="majorEastAsia" w:hint="eastAsia"/>
          <w:bCs/>
          <w:color w:val="auto"/>
          <w:szCs w:val="21"/>
          <w:highlight w:val="none"/>
        </w:rPr>
        <w:t xml:space="preserve">                                                                                                                                                                                                                                                                                                                                                                                                                                                                                                                                                                                                                                                                                                                                                                                                                                                                                                                                                                                                                                                                                                                                                                                                                                                                                                                                                                                                                                                                                                                                                                                                                                                                                                                                                                                                                                                                                                                                                                                                                                                                                                                                                                                                                                                                                                                                                                                                                                                                                                                                                                                                                                                                                                                                                                                                                                                                                                                                                                                                                                              </w:t>
      </w:r>
    </w:p>
    <w:p>
      <w:pPr>
        <w:spacing w:line="440" w:lineRule="exact"/>
        <w:ind w:firstLine="412" w:firstLineChars="196"/>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37.2 本项目采用的评标方法见本项目招标文第一册“专用条款”的相关内容。</w:t>
      </w:r>
    </w:p>
    <w:p>
      <w:pPr>
        <w:spacing w:line="440" w:lineRule="exact"/>
        <w:ind w:firstLine="412" w:firstLineChars="196"/>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37.3重新评审的情形</w:t>
      </w:r>
    </w:p>
    <w:p>
      <w:pPr>
        <w:spacing w:line="440" w:lineRule="exact"/>
        <w:ind w:firstLine="412" w:firstLineChars="196"/>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color w:val="auto"/>
          <w:kern w:val="0"/>
          <w:szCs w:val="21"/>
          <w:highlight w:val="none"/>
        </w:rPr>
        <w:t>评标结果汇总完成后，除下列情形外，任何人不得修改评标结果：</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37.3.1分值汇总计算错误的；</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37.3.2分项评分超出评分标准范围的；</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37.3.3评审委员会成员对客观评审因素评分不一致的；</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37.3.4经评审委员会认定评分畸高、畸低的。</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投标人对本条第一款情形提出质疑的，采购人或者采购代理机构可以组织原评审委员会进行重新评审，重新评审改变评标结果的，应当书面报告本级财政部门。</w:t>
      </w:r>
    </w:p>
    <w:p>
      <w:pPr>
        <w:spacing w:line="440" w:lineRule="exact"/>
        <w:ind w:firstLine="412" w:firstLineChars="196"/>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 xml:space="preserve"> 37.4重新组建评审委员会的情形</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评审委员会或者其成员存在下列情形导致评标结果无效的，重新组建评审委员会进行评标，并书面报告本级财政部门：</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37.4.1评审委员会组成不符合《政府采购货物和服务招标投标管理办法》规定的；</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37.4.2有《政府采购货物和服务招标投标管理办法》第六十二条第一至五项情形的；</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37.4.3评审委员会及其成员独立评标受到非法干预的；</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37.4.4有政府采购法实施条例第七十五条规定的违法行为的。</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有违法违规行为的原评审委员会成员不得参加重新组建的评审委员会。</w:t>
      </w:r>
    </w:p>
    <w:p>
      <w:pPr>
        <w:pStyle w:val="Heading2"/>
        <w:numPr>
          <w:ilvl w:val="0"/>
          <w:numId w:val="8"/>
        </w:numPr>
        <w:spacing w:before="120" w:after="120" w:line="440" w:lineRule="exact"/>
        <w:ind w:left="482" w:hanging="482"/>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 xml:space="preserve">  定标及公示</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38．定标方法</w:t>
      </w:r>
    </w:p>
    <w:p>
      <w:pPr>
        <w:spacing w:line="440" w:lineRule="exact"/>
        <w:ind w:firstLine="412" w:firstLineChars="196"/>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38.1非评定分离项目定标方法（授权评标委员会确定中标单位）</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38.1.1评审委员会依据本项目招标文件所约定的评标方法进行评审和比较，向采购代理机构提交书面评标报告，并根据评标方法比较评价结果从优到劣进行排序，并推荐</w:t>
      </w:r>
      <w:r>
        <w:rPr>
          <w:rFonts w:asciiTheme="majorEastAsia" w:eastAsiaTheme="majorEastAsia" w:hAnsiTheme="majorEastAsia" w:cstheme="majorEastAsia" w:hint="eastAsia"/>
          <w:b/>
          <w:color w:val="auto"/>
          <w:szCs w:val="21"/>
          <w:highlight w:val="none"/>
        </w:rPr>
        <w:t>排名前</w:t>
      </w:r>
      <w:r>
        <w:rPr>
          <w:rFonts w:asciiTheme="majorEastAsia" w:eastAsiaTheme="majorEastAsia" w:hAnsiTheme="majorEastAsia" w:cstheme="majorEastAsia" w:hint="eastAsia"/>
          <w:b/>
          <w:color w:val="auto"/>
          <w:szCs w:val="21"/>
          <w:highlight w:val="none"/>
          <w:lang w:eastAsia="zh-CN"/>
        </w:rPr>
        <w:t>一</w:t>
      </w:r>
      <w:r>
        <w:rPr>
          <w:rFonts w:asciiTheme="majorEastAsia" w:eastAsiaTheme="majorEastAsia" w:hAnsiTheme="majorEastAsia" w:cstheme="majorEastAsia" w:hint="eastAsia"/>
          <w:color w:val="auto"/>
          <w:szCs w:val="21"/>
          <w:highlight w:val="none"/>
        </w:rPr>
        <w:t>的投标单位为候选人中标供应商。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38.1.2采用最低价法的，评标结果按投标报价由低到高排序；投标报价相同的，按技术指标优劣顺序排列；技术指标仍然相同的，则采用抽签方式确定排序，具体操作办法及流程由评标委员会确定。采购方授权评标委员会，确定投标报价最低且排名第一的投标供应商为中标单位。</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38.1.3采用综合评分法的，</w:t>
      </w:r>
      <w:r>
        <w:rPr>
          <w:rFonts w:asciiTheme="majorEastAsia" w:eastAsiaTheme="majorEastAsia" w:hAnsiTheme="majorEastAsia" w:cstheme="majorEastAsia" w:hint="eastAsia"/>
          <w:bCs/>
          <w:color w:val="auto"/>
          <w:szCs w:val="21"/>
          <w:highlight w:val="none"/>
        </w:rPr>
        <w:t>每个投标单位的评标总得分以</w:t>
      </w:r>
      <w:r>
        <w:rPr>
          <w:rFonts w:asciiTheme="majorEastAsia" w:eastAsiaTheme="majorEastAsia" w:hAnsiTheme="majorEastAsia" w:cstheme="majorEastAsia" w:hint="eastAsia"/>
          <w:color w:val="auto"/>
          <w:szCs w:val="21"/>
          <w:highlight w:val="none"/>
        </w:rPr>
        <w:t>所有评标委员会成员的独立评分汇总</w:t>
      </w:r>
      <w:r>
        <w:rPr>
          <w:rFonts w:asciiTheme="majorEastAsia" w:eastAsiaTheme="majorEastAsia" w:hAnsiTheme="majorEastAsia" w:cstheme="majorEastAsia" w:hint="eastAsia"/>
          <w:bCs/>
          <w:color w:val="auto"/>
          <w:szCs w:val="21"/>
          <w:highlight w:val="none"/>
        </w:rPr>
        <w:t>后确定，评标总得分相同的，按投标报价由低到高</w:t>
      </w:r>
      <w:r>
        <w:rPr>
          <w:rFonts w:asciiTheme="majorEastAsia" w:eastAsiaTheme="majorEastAsia" w:hAnsiTheme="majorEastAsia" w:cstheme="majorEastAsia" w:hint="eastAsia"/>
          <w:color w:val="auto"/>
          <w:szCs w:val="21"/>
          <w:highlight w:val="none"/>
        </w:rPr>
        <w:t>顺序排列</w:t>
      </w:r>
      <w:r>
        <w:rPr>
          <w:rFonts w:asciiTheme="majorEastAsia" w:eastAsiaTheme="majorEastAsia" w:hAnsiTheme="majorEastAsia" w:cstheme="majorEastAsia" w:hint="eastAsia"/>
          <w:bCs/>
          <w:color w:val="auto"/>
          <w:szCs w:val="21"/>
          <w:highlight w:val="none"/>
        </w:rPr>
        <w:t>；评标总得分且投标报价相同的，按技术指标（技术部分）得分优劣顺序排列</w:t>
      </w:r>
      <w:r>
        <w:rPr>
          <w:rFonts w:asciiTheme="majorEastAsia" w:eastAsiaTheme="majorEastAsia" w:hAnsiTheme="majorEastAsia" w:cstheme="majorEastAsia" w:hint="eastAsia"/>
          <w:color w:val="auto"/>
          <w:szCs w:val="21"/>
          <w:highlight w:val="none"/>
        </w:rPr>
        <w:t>；如技术指标（技术部分）得分仍然相同的，则采用抽签方式确定排序，具体操作办法及流程由评标委员会确定。</w:t>
      </w:r>
      <w:r>
        <w:rPr>
          <w:rFonts w:asciiTheme="majorEastAsia" w:eastAsiaTheme="majorEastAsia" w:hAnsiTheme="majorEastAsia" w:cstheme="majorEastAsia" w:hint="eastAsia"/>
          <w:bCs/>
          <w:color w:val="auto"/>
          <w:szCs w:val="21"/>
          <w:highlight w:val="none"/>
        </w:rPr>
        <w:t>采购方授权评标委员会，确定评标总得分最高且排名第一的投标人为中标单位。</w:t>
      </w:r>
    </w:p>
    <w:p>
      <w:pPr>
        <w:spacing w:line="440" w:lineRule="exact"/>
        <w:ind w:firstLine="412" w:firstLineChars="196"/>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38.2评定分离项目定标方法</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38.2.2评审委员会采用综合评分法评审，并按照38.1.3规定的评分汇总排序结果，推荐</w:t>
      </w:r>
      <w:r>
        <w:rPr>
          <w:rFonts w:asciiTheme="majorEastAsia" w:eastAsiaTheme="majorEastAsia" w:hAnsiTheme="majorEastAsia" w:cstheme="majorEastAsia" w:hint="eastAsia"/>
          <w:b/>
          <w:color w:val="auto"/>
          <w:szCs w:val="21"/>
          <w:highlight w:val="none"/>
        </w:rPr>
        <w:t>排名前三</w:t>
      </w:r>
      <w:r>
        <w:rPr>
          <w:rFonts w:asciiTheme="majorEastAsia" w:eastAsiaTheme="majorEastAsia" w:hAnsiTheme="majorEastAsia" w:cstheme="majorEastAsia" w:hint="eastAsia"/>
          <w:color w:val="auto"/>
          <w:szCs w:val="21"/>
          <w:highlight w:val="none"/>
        </w:rPr>
        <w:t>的投标单位为候选中标供应商。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38.2.3采购人采用自定法定标，按照《深圳市政府采购评标定标分离管理办法》的相关规定执行。</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38.3专用条款另有规定的，按专用条款相关要求定标。</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39．编写评标报告</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40．中标公告</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40.1为体现“公开、公平、公正”的原则，评标结束后，采购代理机构将在</w:t>
      </w:r>
      <w:r>
        <w:rPr>
          <w:rFonts w:ascii="宋体" w:hAnsi="宋体" w:cs="宋体" w:hint="eastAsia"/>
          <w:color w:val="auto"/>
          <w:szCs w:val="21"/>
          <w:highlight w:val="none"/>
        </w:rPr>
        <w:t>深圳政府采购智慧平台</w:t>
      </w:r>
      <w:r>
        <w:rPr>
          <w:rFonts w:asciiTheme="minorEastAsia" w:eastAsiaTheme="minorEastAsia" w:hAnsiTheme="minorEastAsia" w:cs="宋体" w:hint="eastAsia"/>
          <w:color w:val="auto"/>
          <w:szCs w:val="21"/>
          <w:highlight w:val="none"/>
        </w:rPr>
        <w:t>（http://zfcg.szggzy.com:8081/）</w:t>
      </w:r>
      <w:r>
        <w:rPr>
          <w:rFonts w:asciiTheme="majorEastAsia" w:eastAsiaTheme="majorEastAsia" w:hAnsiTheme="majorEastAsia" w:cstheme="majorEastAsia" w:hint="eastAsia"/>
          <w:color w:val="auto"/>
          <w:szCs w:val="21"/>
          <w:highlight w:val="none"/>
        </w:rPr>
        <w:t>上发布中标结果公告</w:t>
      </w:r>
      <w:r>
        <w:rPr>
          <w:rFonts w:hint="eastAsia"/>
          <w:color w:val="auto"/>
          <w:szCs w:val="21"/>
          <w:highlight w:val="none"/>
        </w:rPr>
        <w:t>，公示期为不少于3日</w:t>
      </w:r>
      <w:r>
        <w:rPr>
          <w:rFonts w:asciiTheme="majorEastAsia" w:eastAsiaTheme="majorEastAsia" w:hAnsiTheme="majorEastAsia" w:cstheme="majorEastAsia" w:hint="eastAsia"/>
          <w:color w:val="auto"/>
          <w:szCs w:val="21"/>
          <w:highlight w:val="none"/>
        </w:rPr>
        <w:t>。供应商如对评标结果有异议，可在公示期内向采购代理机构提出。若在公示期内未提出异议，则视为认同该评标结果。</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40.2质疑投诉人应保证质疑投诉内容的真实性和可靠性，并承担相应的法律责任。</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41．中标通知书</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41.1中标公告公布以后，公示期内无异议或异议不成立的，采购代理机构可按规定发出《中标通知书》。</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41.2 中标通知书是合同的重要组成部分。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41.3因质疑投诉或其它原因导致项目结果变更或采购终止的，采购代理机构有权吊销中标通知书或终止采购合同。</w:t>
      </w:r>
    </w:p>
    <w:p>
      <w:pPr>
        <w:pStyle w:val="Heading2"/>
        <w:numPr>
          <w:ilvl w:val="0"/>
          <w:numId w:val="8"/>
        </w:numPr>
        <w:spacing w:before="120" w:after="120" w:line="440" w:lineRule="exact"/>
        <w:ind w:left="482" w:hanging="482"/>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 xml:space="preserve">  公开招标失败的后续处理</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42．公开招标失败的处理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42.1本项目公开招标过程中若由于投标截止后实际递交投标文件的供应商数量不足、经评审委员会评审对招标文件作实质响应的供应商不足等原因造成公开招标失败，可由采购代理机构重新组织采购。</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42.2对公开招标失败的项目，评审委员会在出具该项目招标失败结论的同时，提出重新采购组织形式的建议，以及进一步完善招标文件的资格、技术、商务要求的修改建议。</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42.3重新组织采购有以下两种组织形式：</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（1）由采购代理机构重新组织公开招标；</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（2）根据实际情况需要向政府采购监督管理部门提出非公开招标方式申请，经政府采购监督管理部门批准，公开招标失败采购项目可转为竞争性谈判或单一来源谈判方式采购。</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42.4公开招标失败的采购项目重新组织公开招标，由采购代理机构重新按公开招标流程组织采购活动。</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42.5公开招标失败的采购项目经政府采购监督管理部门批准转为竞争性谈判或单一来源谈判方式采购的，按规定要求组织政府采购工作。</w:t>
      </w:r>
    </w:p>
    <w:p>
      <w:pPr>
        <w:pStyle w:val="Heading2"/>
        <w:numPr>
          <w:ilvl w:val="0"/>
          <w:numId w:val="8"/>
        </w:numPr>
        <w:spacing w:before="120" w:after="120" w:line="440" w:lineRule="exact"/>
        <w:ind w:left="482" w:hanging="482"/>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 xml:space="preserve">  合同的授予与备案</w:t>
      </w:r>
    </w:p>
    <w:p>
      <w:pPr>
        <w:spacing w:line="440" w:lineRule="exact"/>
        <w:ind w:firstLine="420" w:firstLineChars="200"/>
        <w:rPr>
          <w:rFonts w:asciiTheme="majorEastAsia" w:eastAsiaTheme="majorEastAsia" w:hAnsiTheme="majorEastAsia" w:cstheme="majorEastAsia"/>
          <w:b/>
          <w:color w:val="auto"/>
          <w:szCs w:val="21"/>
          <w:highlight w:val="none"/>
        </w:rPr>
      </w:pPr>
      <w:bookmarkStart w:id="37" w:name="_Toc100052408"/>
      <w:bookmarkStart w:id="38" w:name="_Toc73518157"/>
      <w:bookmarkStart w:id="39" w:name="_Toc73521586"/>
      <w:bookmarkStart w:id="40" w:name="_Toc73521674"/>
      <w:bookmarkStart w:id="41" w:name="_Toc73517679"/>
      <w:r>
        <w:rPr>
          <w:rFonts w:asciiTheme="majorEastAsia" w:eastAsiaTheme="majorEastAsia" w:hAnsiTheme="majorEastAsia" w:cstheme="majorEastAsia" w:hint="eastAsia"/>
          <w:b/>
          <w:color w:val="auto"/>
          <w:szCs w:val="21"/>
          <w:highlight w:val="none"/>
        </w:rPr>
        <w:t>43．合同授予标准</w:t>
      </w:r>
      <w:bookmarkEnd w:id="37"/>
      <w:bookmarkEnd w:id="38"/>
      <w:bookmarkEnd w:id="39"/>
      <w:bookmarkEnd w:id="40"/>
      <w:bookmarkEnd w:id="41"/>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本项目的合同将授予按本招标文件规定评审确定的中标人。</w:t>
      </w:r>
    </w:p>
    <w:p>
      <w:pPr>
        <w:spacing w:line="440" w:lineRule="exact"/>
        <w:ind w:firstLine="420" w:firstLineChars="200"/>
        <w:rPr>
          <w:rFonts w:asciiTheme="majorEastAsia" w:eastAsiaTheme="majorEastAsia" w:hAnsiTheme="majorEastAsia" w:cstheme="majorEastAsia"/>
          <w:b/>
          <w:color w:val="auto"/>
          <w:szCs w:val="21"/>
          <w:highlight w:val="none"/>
        </w:rPr>
      </w:pPr>
      <w:bookmarkStart w:id="42" w:name="_Toc100052409"/>
      <w:bookmarkStart w:id="43" w:name="_Toc73517680"/>
      <w:bookmarkStart w:id="44" w:name="_Toc73521587"/>
      <w:bookmarkStart w:id="45" w:name="_Toc73518158"/>
      <w:bookmarkStart w:id="46" w:name="_Toc73521675"/>
      <w:r>
        <w:rPr>
          <w:rFonts w:asciiTheme="majorEastAsia" w:eastAsiaTheme="majorEastAsia" w:hAnsiTheme="majorEastAsia" w:cstheme="majorEastAsia" w:hint="eastAsia"/>
          <w:b/>
          <w:color w:val="auto"/>
          <w:szCs w:val="21"/>
          <w:highlight w:val="none"/>
        </w:rPr>
        <w:t>44．</w:t>
      </w:r>
      <w:bookmarkEnd w:id="42"/>
      <w:bookmarkEnd w:id="43"/>
      <w:bookmarkEnd w:id="44"/>
      <w:bookmarkEnd w:id="45"/>
      <w:bookmarkEnd w:id="46"/>
      <w:r>
        <w:rPr>
          <w:rFonts w:asciiTheme="majorEastAsia" w:eastAsiaTheme="majorEastAsia" w:hAnsiTheme="majorEastAsia" w:cstheme="majorEastAsia" w:hint="eastAsia"/>
          <w:b/>
          <w:color w:val="auto"/>
          <w:szCs w:val="21"/>
          <w:highlight w:val="none"/>
        </w:rPr>
        <w:t>接受和拒绝任何或所有投标的权力</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采购代理机构和采购人保留在投标之前任何时候接受或拒绝任何投标或所有投标，以及宣布招标无效的权力，对受影响的投标人不承担任何责任，也无义务向受影响的投标人解释采取这一行动的理由。</w:t>
      </w:r>
    </w:p>
    <w:p>
      <w:pPr>
        <w:spacing w:line="440" w:lineRule="exact"/>
        <w:ind w:firstLine="420" w:firstLineChars="200"/>
        <w:rPr>
          <w:rFonts w:asciiTheme="majorEastAsia" w:eastAsiaTheme="majorEastAsia" w:hAnsiTheme="majorEastAsia" w:cstheme="majorEastAsia"/>
          <w:b/>
          <w:color w:val="auto"/>
          <w:szCs w:val="21"/>
          <w:highlight w:val="none"/>
        </w:rPr>
      </w:pPr>
      <w:bookmarkStart w:id="47" w:name="_Toc73517682"/>
      <w:bookmarkStart w:id="48" w:name="_Toc73521677"/>
      <w:bookmarkStart w:id="49" w:name="_Toc73518160"/>
      <w:bookmarkStart w:id="50" w:name="_Toc100052410"/>
      <w:bookmarkStart w:id="51" w:name="_Toc73521589"/>
      <w:r>
        <w:rPr>
          <w:rFonts w:asciiTheme="majorEastAsia" w:eastAsiaTheme="majorEastAsia" w:hAnsiTheme="majorEastAsia" w:cstheme="majorEastAsia" w:hint="eastAsia"/>
          <w:b/>
          <w:color w:val="auto"/>
          <w:szCs w:val="21"/>
          <w:highlight w:val="none"/>
        </w:rPr>
        <w:t>45．合同协议书的签订</w:t>
      </w:r>
      <w:bookmarkEnd w:id="47"/>
      <w:bookmarkEnd w:id="48"/>
      <w:bookmarkEnd w:id="49"/>
      <w:bookmarkEnd w:id="50"/>
      <w:bookmarkEnd w:id="51"/>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45.1中标人将于中标通知书发出之日起十个工作日内，按照采购文件（招标文件和投标文件等）内容与采购人签订政府采购合同；合同的实质性内容应当符合招标文件的规定；</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45.2中标人如不按本通用条款第45.1款的规定与采购人签订合同，</w:t>
      </w:r>
      <w:r>
        <w:rPr>
          <w:rFonts w:asciiTheme="majorEastAsia" w:eastAsiaTheme="majorEastAsia" w:hAnsiTheme="majorEastAsia" w:cstheme="majorEastAsia" w:hint="eastAsia"/>
          <w:color w:val="auto"/>
          <w:kern w:val="0"/>
          <w:szCs w:val="21"/>
          <w:highlight w:val="none"/>
        </w:rPr>
        <w:t>情节严重的，并由主管部门记入供应商诚信档案，予以通报</w:t>
      </w:r>
      <w:r>
        <w:rPr>
          <w:rFonts w:asciiTheme="majorEastAsia" w:eastAsiaTheme="majorEastAsia" w:hAnsiTheme="majorEastAsia" w:cstheme="majorEastAsia" w:hint="eastAsia"/>
          <w:color w:val="auto"/>
          <w:szCs w:val="21"/>
          <w:highlight w:val="none"/>
        </w:rPr>
        <w:t>；</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45.3中标人应当按照合同约定履行义务，完成中标项目，不得将中标项目转让（转包）给他人。</w:t>
      </w:r>
    </w:p>
    <w:p>
      <w:pPr>
        <w:spacing w:line="440" w:lineRule="exact"/>
        <w:ind w:firstLine="420" w:firstLineChars="200"/>
        <w:rPr>
          <w:rFonts w:asciiTheme="majorEastAsia" w:eastAsiaTheme="majorEastAsia" w:hAnsiTheme="majorEastAsia" w:cstheme="majorEastAsia"/>
          <w:b/>
          <w:color w:val="auto"/>
          <w:szCs w:val="21"/>
          <w:highlight w:val="none"/>
        </w:rPr>
      </w:pPr>
      <w:bookmarkStart w:id="52" w:name="_Toc100052411"/>
      <w:bookmarkStart w:id="53" w:name="_Toc73521590"/>
      <w:bookmarkStart w:id="54" w:name="_Toc73521678"/>
      <w:bookmarkStart w:id="55" w:name="_Toc73518161"/>
      <w:bookmarkStart w:id="56" w:name="_Toc73517683"/>
      <w:r>
        <w:rPr>
          <w:rFonts w:asciiTheme="majorEastAsia" w:eastAsiaTheme="majorEastAsia" w:hAnsiTheme="majorEastAsia" w:cstheme="majorEastAsia" w:hint="eastAsia"/>
          <w:b/>
          <w:color w:val="auto"/>
          <w:szCs w:val="21"/>
          <w:highlight w:val="none"/>
        </w:rPr>
        <w:t>46．履约担保</w:t>
      </w:r>
      <w:bookmarkEnd w:id="52"/>
      <w:bookmarkEnd w:id="53"/>
      <w:bookmarkEnd w:id="54"/>
      <w:bookmarkEnd w:id="55"/>
      <w:bookmarkEnd w:id="56"/>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46.1在签订项目合同的同时，中标人应按“对通用条款的补充内容”中规定的金额向采购人提交履约保证金；</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46.2如果中标人不能按“对通用条款的补充内容”中规定的金额向采购人提交履约保证金，采购人将有充分的理由通过政府采购监督管理部门废除中标，给采购人造成的损失应当予以赔偿；</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46.3项目服务期满之后,经验收合格后，采购人在七日内办理解除履约担保手续。</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47. 合同的备案</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采购人与中标人应于合同签订之日起十日内，由采购人或委托中标人将采购合同副本抄送合同备案工作实施机构备案。</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48. 合同的变更</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合同变更事宜按《深圳市财政局 深圳市政府采购中心关于进一步加强市本级政府采购合同备案管理工作的通知》（深财购〔2019〕43号）相关规定执行。</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49. 履约抽检及情况的反馈</w:t>
      </w:r>
    </w:p>
    <w:p>
      <w:pPr>
        <w:spacing w:line="440" w:lineRule="exact"/>
        <w:ind w:right="176" w:firstLine="42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pPr>
        <w:spacing w:line="440" w:lineRule="exact"/>
        <w:ind w:right="176" w:firstLine="42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49.2采购人和供应商应当在采购合同履行完毕三十日之内将政府采购合同履行情况和相关政府采购建议等反馈至履约评价工作实施机构。</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50. 宣传</w:t>
      </w:r>
    </w:p>
    <w:p>
      <w:pPr>
        <w:spacing w:line="44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凡与政府采购活动有关的宣传或广告，若当中提及政府采购，必须事先将具体对外宣传方案报财政主管部门和采购代理机构，并征得其同意。对外市场宣传包括但不限于以下形式：</w:t>
      </w:r>
    </w:p>
    <w:p>
      <w:pPr>
        <w:spacing w:line="440" w:lineRule="exact"/>
        <w:ind w:right="176" w:firstLine="42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a.名片、宣传册、广告标语等；</w:t>
      </w:r>
    </w:p>
    <w:p>
      <w:pPr>
        <w:spacing w:line="440" w:lineRule="exact"/>
        <w:ind w:right="176" w:firstLine="42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b.案例介绍、推广等；</w:t>
      </w:r>
    </w:p>
    <w:p>
      <w:pPr>
        <w:spacing w:line="440" w:lineRule="exact"/>
        <w:ind w:right="176" w:firstLine="42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c.工作人员向其他消费群体宣传。</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51. 供应商违法责任</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（1）在采购活动中应当回避而未回避的；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（2）未按本条例规定签订、履行采购合同，造成严重后果的；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（3）隐瞒真实情况，提供虚假资料的；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（4）以非法手段排斥其他供应商参与竞争的；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（5）与其他采购参加人串通投标的；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（6）恶意投诉的；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（7）向采购项目相关人行贿或者提供其他不当利益的；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（8）阻碍、抗拒主管部门监督检查的；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（9）其他违反本条例规定的行为。</w:t>
      </w:r>
    </w:p>
    <w:p>
      <w:pPr>
        <w:pStyle w:val="Heading2"/>
        <w:spacing w:before="120" w:after="120" w:line="440" w:lineRule="exact"/>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第十一章  质疑处理</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52.质疑提出与答复</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52.1提出质疑</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w:t>
      </w:r>
      <w:r>
        <w:rPr>
          <w:rFonts w:asciiTheme="majorEastAsia" w:eastAsiaTheme="majorEastAsia" w:hAnsiTheme="majorEastAsia" w:cstheme="majorEastAsia" w:hint="eastAsia"/>
          <w:color w:val="auto"/>
          <w:spacing w:val="-6"/>
          <w:szCs w:val="21"/>
          <w:highlight w:val="none"/>
        </w:rPr>
        <w:t>参与政府采购活动的供应商认为自己的权益在采购活动中受到损害的，应当自知道或者应当知道其权益受到损害之日起七个工作日内向采购人、采购代理机构以书面形式提出质疑</w:t>
      </w:r>
      <w:r>
        <w:rPr>
          <w:rFonts w:asciiTheme="majorEastAsia" w:eastAsiaTheme="majorEastAsia" w:hAnsiTheme="majorEastAsia" w:cstheme="majorEastAsia" w:hint="eastAsia"/>
          <w:color w:val="auto"/>
          <w:szCs w:val="21"/>
          <w:highlight w:val="none"/>
        </w:rPr>
        <w:t>。</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52.2法律依据</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中华人民共和国政府采购法》、《中华人民共和国政府采购法实施条例》、《深圳经济特区政府采购条例》、《深圳经济特区政府采购条例实施细则》、《政府采购质疑和投诉办法》（财政部令第94号）和其他有关法律法规规定。</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52.3质疑条件</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52.3.1提出质疑的供应商应当是参与所质疑项目采购活动的供应商；</w:t>
      </w:r>
    </w:p>
    <w:p>
      <w:pPr>
        <w:spacing w:line="440" w:lineRule="exact"/>
        <w:textAlignment w:val="center"/>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szCs w:val="21"/>
          <w:highlight w:val="none"/>
        </w:rPr>
        <w:t xml:space="preserve">    52.3.2</w:t>
      </w:r>
      <w:r>
        <w:rPr>
          <w:rFonts w:asciiTheme="majorEastAsia" w:eastAsiaTheme="majorEastAsia" w:hAnsiTheme="majorEastAsia" w:cstheme="majorEastAsia" w:hint="eastAsia"/>
          <w:color w:val="auto"/>
          <w:kern w:val="0"/>
          <w:szCs w:val="21"/>
          <w:highlight w:val="none"/>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52.3.3应提交书面质疑函，质疑函应当包括以下内容：（1）具体、明确的质疑事项和与质疑事项相关的请求；（2）合理的事实和依据；（3）必要的证明材料和法律依据。注：质疑函范本可在深圳公共资源交易中心网站下载。</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52.4提交材料</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质疑函、营业执照复印件、法定代表人证明。如委托代理人提交的，还需提交授权委托书及代理人身份证明。</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52.5收文部门</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采购代理机构质监部门。</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52.6收文办理程序</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52.6.1供应商提交的质疑材料符合质疑条件的办理收文，出具收文回执；</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52.6.2供应商提交的质疑材料不符合质疑条件的，视情况处理：（1）质疑主体、时限不符合的，不予收文；（2）质疑函内容、提交人身份证明不符合的，开具补正告知书，供应商可在质疑期内补正后重新提交。</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52.7质疑答复时限</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自收文之日起七个工作日内。</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52.8投诉</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对质疑答复不满意或者未在规定时间内答复的，提出质疑的供应商可以在答复期满后15个工作日内向深圳市财政局投诉。</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53. 质疑后续处理</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53.1供应商质疑不成立，或者成立但未对中标、成交结果构成影响的，继续开展采购活动。</w:t>
      </w:r>
    </w:p>
    <w:p>
      <w:pPr>
        <w:spacing w:line="440" w:lineRule="exact"/>
        <w:ind w:firstLine="42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br w:type="page"/>
      </w:r>
    </w:p>
    <w:p>
      <w:pPr>
        <w:spacing w:line="440" w:lineRule="exact"/>
        <w:rPr>
          <w:rFonts w:ascii="宋体" w:hAnsi="宋体" w:cs="宋体"/>
          <w:b/>
          <w:color w:val="auto"/>
          <w:szCs w:val="21"/>
          <w:highlight w:val="none"/>
        </w:rPr>
      </w:pPr>
      <w:r>
        <w:rPr>
          <w:rFonts w:ascii="宋体" w:hAnsi="宋体" w:cs="宋体" w:hint="eastAsia"/>
          <w:b/>
          <w:color w:val="auto"/>
          <w:szCs w:val="21"/>
          <w:highlight w:val="none"/>
        </w:rPr>
        <w:t>附：中小企业相关优惠政策文件（供参考）</w:t>
      </w:r>
    </w:p>
    <w:p>
      <w:pPr>
        <w:spacing w:line="440" w:lineRule="exact"/>
        <w:rPr>
          <w:rFonts w:ascii="宋体" w:hAnsi="宋体" w:cs="宋体"/>
          <w:bCs/>
          <w:color w:val="auto"/>
          <w:szCs w:val="21"/>
          <w:highlight w:val="none"/>
        </w:rPr>
      </w:pPr>
    </w:p>
    <w:p>
      <w:pPr>
        <w:pStyle w:val="NormalWeb"/>
        <w:spacing w:line="440" w:lineRule="exact"/>
        <w:jc w:val="center"/>
        <w:rPr>
          <w:rFonts w:ascii="宋体" w:eastAsia="宋体" w:hAnsi="宋体" w:cs="宋体" w:hint="eastAsia"/>
          <w:b/>
          <w:color w:val="auto"/>
          <w:sz w:val="28"/>
          <w:szCs w:val="28"/>
          <w:highlight w:val="none"/>
          <w:shd w:val="clear" w:color="auto" w:fill="FFFFFF"/>
          <w:lang w:eastAsia="zh-CN"/>
        </w:rPr>
      </w:pPr>
      <w:r>
        <w:rPr>
          <w:rFonts w:ascii="宋体" w:hAnsi="宋体" w:cs="宋体" w:hint="eastAsia"/>
          <w:b/>
          <w:color w:val="auto"/>
          <w:sz w:val="28"/>
          <w:szCs w:val="28"/>
          <w:highlight w:val="none"/>
          <w:shd w:val="clear" w:color="auto" w:fill="FFFFFF"/>
        </w:rPr>
        <w:t>关于印发《政府采购促进中小企业发展管理办法》的通知</w:t>
      </w:r>
    </w:p>
    <w:p>
      <w:pPr>
        <w:pStyle w:val="NormalWeb"/>
        <w:spacing w:line="440" w:lineRule="exact"/>
        <w:jc w:val="center"/>
        <w:rPr>
          <w:rFonts w:ascii="宋体" w:hAnsi="宋体" w:cs="宋体"/>
          <w:color w:val="auto"/>
          <w:sz w:val="21"/>
          <w:szCs w:val="21"/>
          <w:highlight w:val="none"/>
          <w:shd w:val="clear" w:color="auto" w:fill="FFFFFF"/>
        </w:rPr>
      </w:pPr>
      <w:r>
        <w:rPr>
          <w:rFonts w:ascii="宋体" w:hAnsi="宋体" w:cs="宋体" w:hint="eastAsia"/>
          <w:color w:val="auto"/>
          <w:sz w:val="21"/>
          <w:szCs w:val="21"/>
          <w:highlight w:val="none"/>
          <w:shd w:val="clear" w:color="auto" w:fill="FFFFFF"/>
        </w:rPr>
        <w:t>财库〔2020〕46号</w:t>
      </w:r>
    </w:p>
    <w:p>
      <w:pPr>
        <w:pStyle w:val="NormalWeb"/>
        <w:spacing w:line="440" w:lineRule="exact"/>
        <w:ind w:firstLine="420" w:firstLineChars="200"/>
        <w:rPr>
          <w:rFonts w:ascii="宋体" w:hAnsi="宋体" w:cs="宋体"/>
          <w:color w:val="auto"/>
          <w:sz w:val="21"/>
          <w:szCs w:val="21"/>
          <w:highlight w:val="none"/>
          <w:shd w:val="clear" w:color="auto" w:fill="FFFFFF"/>
        </w:rPr>
      </w:pPr>
    </w:p>
    <w:p>
      <w:pPr>
        <w:pStyle w:val="NormalWeb"/>
        <w:spacing w:line="440" w:lineRule="exact"/>
        <w:rPr>
          <w:rFonts w:ascii="宋体" w:hAnsi="宋体" w:cs="宋体"/>
          <w:color w:val="auto"/>
          <w:sz w:val="21"/>
          <w:szCs w:val="21"/>
          <w:highlight w:val="none"/>
          <w:shd w:val="clear" w:color="auto" w:fill="FFFFFF"/>
        </w:rPr>
      </w:pPr>
      <w:r>
        <w:rPr>
          <w:rFonts w:ascii="宋体" w:hAnsi="宋体" w:cs="宋体" w:hint="eastAsia"/>
          <w:color w:val="auto"/>
          <w:sz w:val="21"/>
          <w:szCs w:val="21"/>
          <w:highlight w:val="none"/>
          <w:shd w:val="clear" w:color="auto" w:fill="FFFFFF"/>
        </w:rPr>
        <w:t>各中央预算单位办公厅（室），各省、自治区、直辖市、计划单列市财政厅（局）、工业和信息化主管部门，新疆生产建设兵团财政局、工业和信息化主管部门：</w:t>
      </w:r>
    </w:p>
    <w:p>
      <w:pPr>
        <w:pStyle w:val="NormalWeb"/>
        <w:spacing w:line="440" w:lineRule="exact"/>
        <w:ind w:firstLine="420" w:firstLineChars="200"/>
        <w:rPr>
          <w:rFonts w:ascii="宋体" w:hAnsi="宋体" w:cs="宋体"/>
          <w:color w:val="auto"/>
          <w:sz w:val="21"/>
          <w:szCs w:val="21"/>
          <w:highlight w:val="none"/>
          <w:shd w:val="clear" w:color="auto" w:fill="FFFFFF"/>
        </w:rPr>
      </w:pPr>
      <w:r>
        <w:rPr>
          <w:rFonts w:ascii="宋体" w:hAnsi="宋体" w:cs="宋体" w:hint="eastAsia"/>
          <w:color w:val="auto"/>
          <w:sz w:val="21"/>
          <w:szCs w:val="21"/>
          <w:highlight w:val="none"/>
          <w:shd w:val="clear" w:color="auto" w:fill="FFFFFF"/>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pStyle w:val="NormalWeb"/>
        <w:spacing w:line="440" w:lineRule="exact"/>
        <w:ind w:firstLine="420" w:firstLineChars="200"/>
        <w:rPr>
          <w:rFonts w:ascii="宋体" w:hAnsi="宋体" w:cs="宋体"/>
          <w:color w:val="auto"/>
          <w:sz w:val="21"/>
          <w:szCs w:val="21"/>
          <w:highlight w:val="none"/>
          <w:shd w:val="clear" w:color="auto" w:fill="FFFFFF"/>
        </w:rPr>
      </w:pPr>
      <w:r>
        <w:rPr>
          <w:rFonts w:ascii="宋体" w:hAnsi="宋体" w:cs="宋体" w:hint="eastAsia"/>
          <w:color w:val="auto"/>
          <w:sz w:val="21"/>
          <w:szCs w:val="21"/>
          <w:highlight w:val="none"/>
          <w:shd w:val="clear" w:color="auto" w:fill="FFFFFF"/>
        </w:rPr>
        <w:t>附件：政府采购促进中小企业发展管理办法</w:t>
      </w:r>
    </w:p>
    <w:p>
      <w:pPr>
        <w:pStyle w:val="NormalWeb"/>
        <w:shd w:val="clear" w:color="auto" w:fill="FFFFFF"/>
        <w:spacing w:line="440" w:lineRule="exact"/>
        <w:ind w:firstLine="420"/>
        <w:rPr>
          <w:rFonts w:ascii="宋体" w:hAnsi="宋体" w:cs="宋体"/>
          <w:color w:val="auto"/>
          <w:sz w:val="21"/>
          <w:szCs w:val="21"/>
          <w:highlight w:val="none"/>
          <w:shd w:val="clear" w:color="auto" w:fill="FFFFFF"/>
        </w:rPr>
      </w:pPr>
    </w:p>
    <w:p>
      <w:pPr>
        <w:pStyle w:val="NormalWeb"/>
        <w:spacing w:line="440" w:lineRule="exact"/>
        <w:ind w:firstLine="420" w:firstLineChars="200"/>
        <w:jc w:val="right"/>
        <w:rPr>
          <w:rFonts w:ascii="宋体" w:eastAsia="宋体" w:hAnsi="宋体" w:cs="宋体" w:hint="eastAsia"/>
          <w:color w:val="auto"/>
          <w:sz w:val="21"/>
          <w:szCs w:val="21"/>
          <w:highlight w:val="none"/>
          <w:shd w:val="clear" w:color="auto" w:fill="FFFFFF"/>
          <w:lang w:eastAsia="zh-CN"/>
        </w:rPr>
      </w:pPr>
      <w:r>
        <w:rPr>
          <w:rFonts w:ascii="宋体" w:hAnsi="宋体" w:cs="宋体" w:hint="eastAsia"/>
          <w:color w:val="auto"/>
          <w:sz w:val="21"/>
          <w:szCs w:val="21"/>
          <w:highlight w:val="none"/>
          <w:shd w:val="clear" w:color="auto" w:fill="FFFFFF"/>
        </w:rPr>
        <w:t>财政部</w:t>
      </w:r>
    </w:p>
    <w:p>
      <w:pPr>
        <w:pStyle w:val="NormalWeb"/>
        <w:spacing w:line="440" w:lineRule="exact"/>
        <w:ind w:firstLine="420" w:firstLineChars="200"/>
        <w:jc w:val="right"/>
        <w:rPr>
          <w:rFonts w:ascii="宋体" w:eastAsia="宋体" w:hAnsi="宋体" w:cs="宋体" w:hint="eastAsia"/>
          <w:color w:val="auto"/>
          <w:sz w:val="21"/>
          <w:szCs w:val="21"/>
          <w:highlight w:val="none"/>
          <w:shd w:val="clear" w:color="auto" w:fill="FFFFFF"/>
          <w:lang w:eastAsia="zh-CN"/>
        </w:rPr>
      </w:pPr>
      <w:r>
        <w:rPr>
          <w:rFonts w:ascii="宋体" w:hAnsi="宋体" w:cs="宋体" w:hint="eastAsia"/>
          <w:color w:val="auto"/>
          <w:sz w:val="21"/>
          <w:szCs w:val="21"/>
          <w:highlight w:val="none"/>
          <w:shd w:val="clear" w:color="auto" w:fill="FFFFFF"/>
        </w:rPr>
        <w:t>工业和信息化部</w:t>
      </w:r>
    </w:p>
    <w:p>
      <w:pPr>
        <w:pStyle w:val="NormalWeb"/>
        <w:spacing w:line="440" w:lineRule="exact"/>
        <w:ind w:firstLine="420" w:firstLineChars="200"/>
        <w:jc w:val="right"/>
        <w:rPr>
          <w:rFonts w:ascii="宋体" w:hAnsi="宋体" w:cs="宋体"/>
          <w:color w:val="auto"/>
          <w:sz w:val="21"/>
          <w:szCs w:val="21"/>
          <w:highlight w:val="none"/>
          <w:shd w:val="clear" w:color="auto" w:fill="FFFFFF"/>
        </w:rPr>
      </w:pPr>
      <w:r>
        <w:rPr>
          <w:rFonts w:ascii="宋体" w:hAnsi="宋体" w:cs="宋体" w:hint="eastAsia"/>
          <w:color w:val="auto"/>
          <w:sz w:val="21"/>
          <w:szCs w:val="21"/>
          <w:highlight w:val="none"/>
          <w:shd w:val="clear" w:color="auto" w:fill="FFFFFF"/>
        </w:rPr>
        <w:t>2020年12月18日</w:t>
      </w:r>
    </w:p>
    <w:p>
      <w:pPr>
        <w:pStyle w:val="NormalWeb"/>
        <w:spacing w:line="440" w:lineRule="exact"/>
        <w:rPr>
          <w:rFonts w:ascii="宋体" w:hAnsi="宋体" w:cs="宋体"/>
          <w:color w:val="auto"/>
          <w:sz w:val="21"/>
          <w:szCs w:val="21"/>
          <w:highlight w:val="none"/>
          <w:shd w:val="clear" w:color="auto" w:fill="FFFFFF"/>
        </w:rPr>
      </w:pPr>
      <w:r>
        <w:rPr>
          <w:rFonts w:ascii="宋体" w:hAnsi="宋体" w:cs="宋体" w:hint="eastAsia"/>
          <w:color w:val="auto"/>
          <w:sz w:val="21"/>
          <w:szCs w:val="21"/>
          <w:highlight w:val="none"/>
          <w:shd w:val="clear" w:color="auto" w:fill="FFFFFF"/>
        </w:rPr>
        <w:t>附件：</w:t>
      </w:r>
    </w:p>
    <w:p>
      <w:pPr>
        <w:pStyle w:val="NormalWeb"/>
        <w:spacing w:line="440" w:lineRule="exact"/>
        <w:jc w:val="center"/>
        <w:rPr>
          <w:rFonts w:ascii="宋体" w:hAnsi="宋体" w:cs="宋体"/>
          <w:color w:val="auto"/>
          <w:highlight w:val="none"/>
        </w:rPr>
      </w:pPr>
      <w:r>
        <w:rPr>
          <w:rStyle w:val="Strong"/>
          <w:rFonts w:ascii="宋体" w:hAnsi="宋体" w:cs="宋体" w:hint="eastAsia"/>
          <w:bCs w:val="0"/>
          <w:color w:val="auto"/>
          <w:highlight w:val="none"/>
        </w:rPr>
        <w:t>政府采购促进中小企业发展管理办法</w:t>
      </w:r>
    </w:p>
    <w:p>
      <w:pPr>
        <w:pStyle w:val="NormalWeb"/>
        <w:spacing w:line="440" w:lineRule="exact"/>
        <w:ind w:firstLine="477" w:firstLineChars="227"/>
        <w:rPr>
          <w:rFonts w:ascii="宋体" w:hAnsi="宋体" w:cs="宋体"/>
          <w:color w:val="auto"/>
          <w:sz w:val="21"/>
          <w:szCs w:val="21"/>
          <w:highlight w:val="none"/>
        </w:rPr>
      </w:pPr>
    </w:p>
    <w:p>
      <w:pPr>
        <w:pStyle w:val="NormalWeb"/>
        <w:spacing w:line="440" w:lineRule="exact"/>
        <w:ind w:firstLine="420" w:firstLineChars="200"/>
        <w:rPr>
          <w:rFonts w:ascii="宋体" w:hAnsi="宋体" w:cs="宋体"/>
          <w:color w:val="auto"/>
          <w:sz w:val="21"/>
          <w:szCs w:val="21"/>
          <w:highlight w:val="none"/>
        </w:rPr>
      </w:pPr>
      <w:r>
        <w:rPr>
          <w:rStyle w:val="Strong"/>
          <w:rFonts w:ascii="宋体" w:hAnsi="宋体" w:cs="宋体" w:hint="eastAsia"/>
          <w:bCs w:val="0"/>
          <w:color w:val="auto"/>
          <w:sz w:val="21"/>
          <w:szCs w:val="21"/>
          <w:highlight w:val="none"/>
        </w:rPr>
        <w:t>第一条</w:t>
      </w:r>
      <w:r>
        <w:rPr>
          <w:rFonts w:ascii="宋体" w:hAnsi="宋体" w:cs="宋体" w:hint="eastAsia"/>
          <w:color w:val="auto"/>
          <w:sz w:val="21"/>
          <w:szCs w:val="21"/>
          <w:highlight w:val="none"/>
        </w:rPr>
        <w:t>　为了发挥政府采购的政策功能，促进中小企业健康发展，根据《中华人民共和国政府采购法》、《中华人民共和国中小企业促进法》等有关法律法规，制定本办法。</w:t>
      </w:r>
    </w:p>
    <w:p>
      <w:pPr>
        <w:pStyle w:val="NormalWeb"/>
        <w:spacing w:line="440" w:lineRule="exact"/>
        <w:ind w:firstLine="420" w:firstLineChars="200"/>
        <w:rPr>
          <w:rFonts w:ascii="宋体" w:hAnsi="宋体" w:cs="宋体"/>
          <w:color w:val="auto"/>
          <w:sz w:val="21"/>
          <w:szCs w:val="21"/>
          <w:highlight w:val="none"/>
        </w:rPr>
      </w:pPr>
      <w:r>
        <w:rPr>
          <w:rStyle w:val="Strong"/>
          <w:rFonts w:ascii="宋体" w:hAnsi="宋体" w:cs="宋体" w:hint="eastAsia"/>
          <w:bCs w:val="0"/>
          <w:color w:val="auto"/>
          <w:sz w:val="21"/>
          <w:szCs w:val="21"/>
          <w:highlight w:val="none"/>
        </w:rPr>
        <w:t>第二条</w:t>
      </w:r>
      <w:r>
        <w:rPr>
          <w:rFonts w:ascii="宋体" w:hAnsi="宋体" w:cs="宋体" w:hint="eastAsia"/>
          <w:color w:val="auto"/>
          <w:sz w:val="21"/>
          <w:szCs w:val="21"/>
          <w:highlight w:val="none"/>
        </w:rPr>
        <w:t>　本办法所称</w:t>
      </w:r>
      <w:r>
        <w:rPr>
          <w:rStyle w:val="Strong"/>
          <w:rFonts w:ascii="宋体" w:hAnsi="宋体" w:cs="宋体" w:hint="eastAsia"/>
          <w:color w:val="auto"/>
          <w:sz w:val="21"/>
          <w:szCs w:val="21"/>
          <w:highlight w:val="none"/>
        </w:rPr>
        <w:t>中小企业</w:t>
      </w:r>
      <w:r>
        <w:rPr>
          <w:rFonts w:ascii="宋体" w:hAnsi="宋体" w:cs="宋体" w:hint="eastAsia"/>
          <w:color w:val="auto"/>
          <w:sz w:val="21"/>
          <w:szCs w:val="21"/>
          <w:highlight w:val="none"/>
        </w:rPr>
        <w:t>，是指在中华人民共和国境内依法设立，依据国务院批准的中小企业划分标准确定的中型企业、小型企业和微型企业，但与大企业的负责人为同一人，或者与大企业存在直接控股、管理关系的除外。</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符合中小企业划分标准的个体工商户，在政府采购活动中视同中小企业。</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第三条　</w:t>
      </w:r>
      <w:r>
        <w:rPr>
          <w:rFonts w:ascii="宋体" w:hAnsi="宋体" w:cs="宋体" w:hint="eastAsia"/>
          <w:color w:val="auto"/>
          <w:sz w:val="21"/>
          <w:szCs w:val="21"/>
          <w:highlight w:val="none"/>
        </w:rPr>
        <w:t>采购人在政府采购活动中应当通过加强采购需求管理，落实预留采购份额、价格评审优惠、优先采购等措施，提高中小企业在政府采购中的份额，支持中小企业发展。</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第四条　</w:t>
      </w:r>
      <w:r>
        <w:rPr>
          <w:rFonts w:ascii="宋体" w:hAnsi="宋体" w:cs="宋体" w:hint="eastAsia"/>
          <w:color w:val="auto"/>
          <w:sz w:val="21"/>
          <w:szCs w:val="21"/>
          <w:highlight w:val="none"/>
        </w:rPr>
        <w:t>在政府采购活动中，供应商提供的货物、工程或者服务符合下列情形的，享受本办法规定的中小企业扶持政策：</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（一）在货物采购项目中，货物由中小企业制造，即货物由中小企业生产且使用该中小企业商号或者注册商标；</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（二）在工程采购项目中，工程由中小企业承建，即工程施工单位为中小企业；</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（三）在服务采购项目中，服务由中小企业承接，即提供服务的人员为中小企业依照《中华人民共和国劳动合同法》订立劳动合同的从业人员。</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在货物采购项目中，供应商提供的货物既有中小企业制造货物，也有大型企业制造货物的，不享受本办法规定的中小企业扶持政策。</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以联合体形式参加政府采购活动，联合体各方均为中小企业的，联合体视同中小企业。其中，联合体各方均为小微企业的，联合体视同小微企业。</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第五条　</w:t>
      </w:r>
      <w:r>
        <w:rPr>
          <w:rFonts w:ascii="宋体" w:hAnsi="宋体" w:cs="宋体" w:hint="eastAsia"/>
          <w:color w:val="auto"/>
          <w:sz w:val="21"/>
          <w:szCs w:val="21"/>
          <w:highlight w:val="none"/>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第六条　</w:t>
      </w:r>
      <w:r>
        <w:rPr>
          <w:rFonts w:ascii="宋体" w:hAnsi="宋体" w:cs="宋体" w:hint="eastAsia"/>
          <w:color w:val="auto"/>
          <w:sz w:val="21"/>
          <w:szCs w:val="21"/>
          <w:highlight w:val="none"/>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符合下列情形之一的，可不专门面向中小企业预留采购份额：</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（一）法律法规和国家有关政策明确规定优先或者应当面向事业单位、社会组织等非企业主体采购的；</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（二）因确需使用不可替代的专利、专有技术，基础设施限制，或者提供特定公共服务等原因，只能从中小企业之外的供应商处采购的；</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（三）按照本办法规定预留采购份额无法确保充分供应、充分竞争，或者存在可能影响政府采购目标实现的情形；</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（四）框架协议采购项目；</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（五）省级以上人民政府财政部门规定的其他情形。</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除上述情形外，其他均为适宜由中小企业提供的情形。</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第七条　</w:t>
      </w:r>
      <w:r>
        <w:rPr>
          <w:rFonts w:ascii="宋体" w:hAnsi="宋体" w:cs="宋体" w:hint="eastAsia"/>
          <w:color w:val="auto"/>
          <w:sz w:val="21"/>
          <w:szCs w:val="21"/>
          <w:highlight w:val="none"/>
        </w:rPr>
        <w:t>采购限额标准以上，200万元以下的货物和服务采购项目、400万元以下的工程采购项目，适宜由中小企业提供的，采购人应当专门面向中小企业采购。</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第八条　</w:t>
      </w:r>
      <w:r>
        <w:rPr>
          <w:rFonts w:ascii="宋体" w:hAnsi="宋体" w:cs="宋体" w:hint="eastAsia"/>
          <w:color w:val="auto"/>
          <w:sz w:val="21"/>
          <w:szCs w:val="21"/>
          <w:highlight w:val="none"/>
        </w:rPr>
        <w:t>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（一）将采购项目整体或者设置采购包专门面向中小企业采购；</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（二）要求供应商以联合体形式参加采购活动，且联合体中中小企业承担的部分达到一定比例；</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（三）要求获得采购合同的供应商将采购项目中的一定比例分包给一家或者多家中小企业。</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组成联合体或者接受分包合同的中小企业与联合体内其他企业、分包企业之间不得存在直接控股、管理关系。</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第九条　</w:t>
      </w:r>
      <w:r>
        <w:rPr>
          <w:rFonts w:ascii="宋体" w:hAnsi="宋体" w:cs="宋体" w:hint="eastAsia"/>
          <w:color w:val="auto"/>
          <w:sz w:val="21"/>
          <w:szCs w:val="21"/>
          <w:highlight w:val="none"/>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第十条　</w:t>
      </w:r>
      <w:r>
        <w:rPr>
          <w:rFonts w:ascii="宋体" w:hAnsi="宋体" w:cs="宋体" w:hint="eastAsia"/>
          <w:color w:val="auto"/>
          <w:sz w:val="21"/>
          <w:szCs w:val="21"/>
          <w:highlight w:val="none"/>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第十一条　</w:t>
      </w:r>
      <w:r>
        <w:rPr>
          <w:rFonts w:ascii="宋体" w:hAnsi="宋体" w:cs="宋体" w:hint="eastAsia"/>
          <w:color w:val="auto"/>
          <w:sz w:val="21"/>
          <w:szCs w:val="21"/>
          <w:highlight w:val="none"/>
        </w:rPr>
        <w:t>中小企业参加政府采购活动，应当出具本办法规定的《中小企业声明函》（附1），否则不得享受相关中小企业扶持政策。任何单位和个人不得要求供应商提供《中小企业声明函》之外的中小企业身份证明文件。</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第十二条　</w:t>
      </w:r>
      <w:r>
        <w:rPr>
          <w:rFonts w:ascii="宋体" w:hAnsi="宋体" w:cs="宋体" w:hint="eastAsia"/>
          <w:color w:val="auto"/>
          <w:sz w:val="21"/>
          <w:szCs w:val="21"/>
          <w:highlight w:val="none"/>
        </w:rPr>
        <w:t>采购项目涉及中小企业采购的，采购文件应当明确以下内容：</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（一）预留份额的采购项目或者采购包，明确该项目或相关采购包专门面向中小企业采购，以及相关标的及预算金额；</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（二）要求以联合体形式参加或者合同分包的，明确联合协议或者分包意向协议中中小企业合同金额应当达到的比例，并作为供应商资格条件；</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（三）非预留份额的采购项目或者采购包，明确有关价格扣除比例或者价格分加分比例；</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（四）规定依据本办法规定享受扶持政策获得政府采购合同的，小微企业不得将合同分包给大中型企业，中型企业不得将合同分包给大型企业；</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（五）采购人认为具备相关条件的，明确对中小企业在资金支付期限、预付款比例等方面的优惠措施；</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（六）明确采购标的对应的中小企业划分标准所属行业；</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（七）法律法规和省级以上人民政府财政部门规定的其他事项。</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第十三条　</w:t>
      </w:r>
      <w:r>
        <w:rPr>
          <w:rFonts w:ascii="宋体" w:hAnsi="宋体" w:cs="宋体" w:hint="eastAsia"/>
          <w:color w:val="auto"/>
          <w:sz w:val="21"/>
          <w:szCs w:val="21"/>
          <w:highlight w:val="none"/>
        </w:rPr>
        <w:t>中标、成交供应商享受本办法规定的中小企业扶持政策的，采购人、采购代理机构应当随中标、成交结果公开中标、成交供应商的《中小企业声明函》。</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适用招标投标法的政府采购工程建设项目，应当在公示中标候选人时公开中标候选人的《中小企业声明函》。</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 xml:space="preserve">第十四条 </w:t>
      </w:r>
      <w:r>
        <w:rPr>
          <w:rFonts w:ascii="宋体" w:hAnsi="宋体" w:cs="宋体" w:hint="eastAsia"/>
          <w:color w:val="auto"/>
          <w:sz w:val="21"/>
          <w:szCs w:val="21"/>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第十五条　</w:t>
      </w:r>
      <w:r>
        <w:rPr>
          <w:rFonts w:ascii="宋体" w:hAnsi="宋体" w:cs="宋体" w:hint="eastAsia"/>
          <w:color w:val="auto"/>
          <w:sz w:val="21"/>
          <w:szCs w:val="21"/>
          <w:highlight w:val="none"/>
        </w:rPr>
        <w:t>鼓励各地区、各部门在采购活动中允许中小企业引入信用担保手段，为中小企业在投标（响应）保证、履约保证等方面提供专业化服务。鼓励中小企业依法合规通过政府采购合同融资。</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第十六条　</w:t>
      </w:r>
      <w:r>
        <w:rPr>
          <w:rFonts w:ascii="宋体" w:hAnsi="宋体" w:cs="宋体" w:hint="eastAsia"/>
          <w:color w:val="auto"/>
          <w:sz w:val="21"/>
          <w:szCs w:val="21"/>
          <w:highlight w:val="none"/>
        </w:rPr>
        <w:t>政府采购监督检查、投诉处理及政府采购行政处罚中对中小企业的认定，由货物制造商或者工程、服务供应商注册登记所在地的县级以上人民政府中小企业主管部门负责。</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中小企业主管部门应当在收到财政部门或者有关招标投标行政监督部门关于协助开展中小企业认定函后10个工作日内做出书面答复。</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第十七条　</w:t>
      </w:r>
      <w:r>
        <w:rPr>
          <w:rFonts w:ascii="宋体" w:hAnsi="宋体" w:cs="宋体" w:hint="eastAsia"/>
          <w:color w:val="auto"/>
          <w:sz w:val="21"/>
          <w:szCs w:val="21"/>
          <w:highlight w:val="none"/>
        </w:rPr>
        <w:t>各地区、各部门应当对涉及中小企业采购的预算项目实施全过程绩效管理，合理设置绩效目标和指标，落实扶持中小企业有关政策要求，定期开展绩效监控和评价，强化绩效评价结果应用。</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第十八条　</w:t>
      </w:r>
      <w:r>
        <w:rPr>
          <w:rFonts w:ascii="宋体" w:hAnsi="宋体" w:cs="宋体" w:hint="eastAsia"/>
          <w:color w:val="auto"/>
          <w:sz w:val="21"/>
          <w:szCs w:val="21"/>
          <w:highlight w:val="none"/>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第十九条　</w:t>
      </w:r>
      <w:r>
        <w:rPr>
          <w:rFonts w:ascii="宋体" w:hAnsi="宋体" w:cs="宋体" w:hint="eastAsia"/>
          <w:color w:val="auto"/>
          <w:sz w:val="21"/>
          <w:szCs w:val="21"/>
          <w:highlight w:val="none"/>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第二十条　</w:t>
      </w:r>
      <w:r>
        <w:rPr>
          <w:rFonts w:ascii="宋体" w:hAnsi="宋体" w:cs="宋体" w:hint="eastAsia"/>
          <w:color w:val="auto"/>
          <w:sz w:val="21"/>
          <w:szCs w:val="21"/>
          <w:highlight w:val="none"/>
        </w:rPr>
        <w:t>供应商按照本办法规定提供声明函内容不实的，属于提供虚假材料谋取中标、成交，依照《中华人民共和国政府采购法》等国家有关规定追究相应责任。</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适用招标投标法的政府采购工程建设项目，投标人按照本办法规定提供声明函内容不实的，属于弄虚作假骗取中标，依照《中华人民共和国招标投标法》等国家有关规定追究相应责任。</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第二十一条　</w:t>
      </w:r>
      <w:r>
        <w:rPr>
          <w:rFonts w:ascii="宋体" w:hAnsi="宋体" w:cs="宋体" w:hint="eastAsia"/>
          <w:color w:val="auto"/>
          <w:sz w:val="21"/>
          <w:szCs w:val="21"/>
          <w:highlight w:val="none"/>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第二十二条　</w:t>
      </w:r>
      <w:r>
        <w:rPr>
          <w:rFonts w:ascii="宋体" w:hAnsi="宋体" w:cs="宋体" w:hint="eastAsia"/>
          <w:color w:val="auto"/>
          <w:sz w:val="21"/>
          <w:szCs w:val="21"/>
          <w:highlight w:val="none"/>
        </w:rPr>
        <w:t>对外援助项目、国家相关资格或者资质管理制度另有规定的项目，不适用本办法。</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第二十三条　</w:t>
      </w:r>
      <w:r>
        <w:rPr>
          <w:rFonts w:ascii="宋体" w:hAnsi="宋体" w:cs="宋体" w:hint="eastAsia"/>
          <w:color w:val="auto"/>
          <w:sz w:val="21"/>
          <w:szCs w:val="21"/>
          <w:highlight w:val="none"/>
        </w:rPr>
        <w:t>关于视同中小企业的其他主体的政府采购扶持政策，由财政部会同有关部门另行规定。</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第二十四条　</w:t>
      </w:r>
      <w:r>
        <w:rPr>
          <w:rFonts w:ascii="宋体" w:hAnsi="宋体" w:cs="宋体" w:hint="eastAsia"/>
          <w:color w:val="auto"/>
          <w:sz w:val="21"/>
          <w:szCs w:val="21"/>
          <w:highlight w:val="none"/>
        </w:rPr>
        <w:t>省级财政部门可以会同中小企业主管部门根据本办法的规定制定具体实施办法。</w:t>
      </w:r>
    </w:p>
    <w:p>
      <w:pPr>
        <w:pStyle w:val="NormalWeb"/>
        <w:spacing w:line="440" w:lineRule="exact"/>
        <w:ind w:firstLine="420" w:firstLineChars="200"/>
        <w:rPr>
          <w:rFonts w:ascii="宋体" w:hAnsi="宋体" w:cs="宋体"/>
          <w:color w:val="auto"/>
          <w:kern w:val="2"/>
          <w:sz w:val="21"/>
          <w:szCs w:val="21"/>
          <w:highlight w:val="none"/>
        </w:rPr>
      </w:pPr>
      <w:r>
        <w:rPr>
          <w:rFonts w:ascii="宋体" w:hAnsi="宋体" w:cs="宋体" w:hint="eastAsia"/>
          <w:b/>
          <w:color w:val="auto"/>
          <w:kern w:val="2"/>
          <w:sz w:val="21"/>
          <w:szCs w:val="21"/>
          <w:highlight w:val="none"/>
        </w:rPr>
        <w:t>第二十五条　</w:t>
      </w:r>
      <w:r>
        <w:rPr>
          <w:rFonts w:ascii="宋体" w:hAnsi="宋体" w:cs="宋体" w:hint="eastAsia"/>
          <w:color w:val="auto"/>
          <w:kern w:val="2"/>
          <w:sz w:val="21"/>
          <w:szCs w:val="21"/>
          <w:highlight w:val="none"/>
        </w:rPr>
        <w:t>本办法自2021年1月1日起施行。《财政部工业和信息化部关于印发〈政府采购促进中小企业发展暂行办法〉的通知》（财库﹝2011﹞181号）同时废止。</w:t>
      </w:r>
    </w:p>
    <w:p>
      <w:pPr>
        <w:rPr>
          <w:rFonts w:ascii="宋体" w:hAnsi="宋体" w:cs="宋体"/>
          <w:color w:val="auto"/>
          <w:szCs w:val="21"/>
          <w:highlight w:val="none"/>
        </w:rPr>
      </w:pPr>
      <w:r>
        <w:rPr>
          <w:rFonts w:ascii="宋体" w:hAnsi="宋体" w:cs="宋体" w:hint="eastAsia"/>
          <w:color w:val="auto"/>
          <w:szCs w:val="21"/>
          <w:highlight w:val="none"/>
        </w:rPr>
        <w:br w:type="page"/>
      </w:r>
    </w:p>
    <w:p>
      <w:pPr>
        <w:pStyle w:val="NormalWeb"/>
        <w:spacing w:line="440" w:lineRule="exact"/>
        <w:jc w:val="center"/>
        <w:rPr>
          <w:rStyle w:val="Strong"/>
          <w:rFonts w:ascii="宋体" w:eastAsia="宋体" w:hAnsi="宋体" w:cs="宋体" w:hint="eastAsia"/>
          <w:color w:val="auto"/>
          <w:sz w:val="28"/>
          <w:szCs w:val="28"/>
          <w:highlight w:val="none"/>
          <w:lang w:eastAsia="zh-CN"/>
        </w:rPr>
      </w:pPr>
      <w:r>
        <w:rPr>
          <w:rStyle w:val="Strong"/>
          <w:rFonts w:ascii="宋体" w:hAnsi="宋体" w:cs="宋体"/>
          <w:color w:val="auto"/>
          <w:sz w:val="28"/>
          <w:szCs w:val="28"/>
          <w:highlight w:val="none"/>
        </w:rPr>
        <w:t>关于印发中小企业划型标准规定的通知</w:t>
      </w:r>
    </w:p>
    <w:p>
      <w:pPr>
        <w:pStyle w:val="NormalWeb"/>
        <w:spacing w:line="440" w:lineRule="exact"/>
        <w:jc w:val="center"/>
        <w:rPr>
          <w:rFonts w:ascii="宋体" w:hAnsi="宋体" w:cs="宋体"/>
          <w:color w:val="auto"/>
          <w:sz w:val="21"/>
          <w:szCs w:val="21"/>
          <w:highlight w:val="none"/>
        </w:rPr>
      </w:pPr>
      <w:r>
        <w:rPr>
          <w:rFonts w:ascii="宋体" w:hAnsi="宋体" w:cs="宋体" w:hint="eastAsia"/>
          <w:color w:val="auto"/>
          <w:sz w:val="21"/>
          <w:szCs w:val="21"/>
          <w:highlight w:val="none"/>
        </w:rPr>
        <w:t>工信部联企业〔2011〕300号</w:t>
      </w:r>
    </w:p>
    <w:p>
      <w:pPr>
        <w:pStyle w:val="NormalWeb"/>
        <w:spacing w:line="440" w:lineRule="exact"/>
        <w:rPr>
          <w:rFonts w:ascii="宋体" w:hAnsi="宋体" w:cs="宋体"/>
          <w:color w:val="auto"/>
          <w:sz w:val="21"/>
          <w:szCs w:val="21"/>
          <w:highlight w:val="none"/>
        </w:rPr>
      </w:pPr>
    </w:p>
    <w:p>
      <w:pPr>
        <w:pStyle w:val="NormalWeb"/>
        <w:spacing w:line="440" w:lineRule="exact"/>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各省、自治区、直辖市人民政府，国务院各部委、各直属机构及有关单位：</w:t>
      </w:r>
    </w:p>
    <w:p>
      <w:pPr>
        <w:pStyle w:val="NormalWeb"/>
        <w:spacing w:line="440" w:lineRule="exact"/>
        <w:rPr>
          <w:rFonts w:ascii="宋体" w:hAnsi="宋体" w:cs="宋体"/>
          <w:color w:val="auto"/>
          <w:sz w:val="21"/>
          <w:szCs w:val="21"/>
          <w:highlight w:val="none"/>
        </w:rPr>
      </w:pPr>
      <w:r>
        <w:rPr>
          <w:rFonts w:ascii="宋体" w:hAnsi="宋体" w:cs="宋体" w:hint="eastAsia"/>
          <w:color w:val="auto"/>
          <w:sz w:val="21"/>
          <w:szCs w:val="21"/>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NormalWeb"/>
        <w:spacing w:line="440" w:lineRule="exact"/>
        <w:jc w:val="right"/>
        <w:rPr>
          <w:rFonts w:ascii="宋体" w:eastAsia="宋体" w:hAnsi="宋体" w:cs="宋体" w:hint="eastAsia"/>
          <w:color w:val="auto"/>
          <w:sz w:val="21"/>
          <w:szCs w:val="21"/>
          <w:highlight w:val="none"/>
          <w:lang w:eastAsia="zh-CN"/>
        </w:rPr>
      </w:pPr>
    </w:p>
    <w:p>
      <w:pPr>
        <w:pStyle w:val="NormalWeb"/>
        <w:spacing w:line="440" w:lineRule="exact"/>
        <w:jc w:val="right"/>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工业和信息化部　国家统计局</w:t>
      </w:r>
    </w:p>
    <w:p>
      <w:pPr>
        <w:pStyle w:val="NormalWeb"/>
        <w:spacing w:line="440" w:lineRule="exact"/>
        <w:jc w:val="right"/>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国家发展和改革委员会　财政部</w:t>
      </w:r>
    </w:p>
    <w:p>
      <w:pPr>
        <w:pStyle w:val="NormalWeb"/>
        <w:spacing w:line="440" w:lineRule="exact"/>
        <w:jc w:val="right"/>
        <w:rPr>
          <w:rFonts w:ascii="宋体" w:hAnsi="宋体" w:cs="宋体"/>
          <w:color w:val="auto"/>
          <w:sz w:val="21"/>
          <w:szCs w:val="21"/>
          <w:highlight w:val="none"/>
        </w:rPr>
      </w:pPr>
      <w:r>
        <w:rPr>
          <w:rFonts w:ascii="宋体" w:hAnsi="宋体" w:cs="宋体" w:hint="eastAsia"/>
          <w:color w:val="auto"/>
          <w:sz w:val="21"/>
          <w:szCs w:val="21"/>
          <w:highlight w:val="none"/>
        </w:rPr>
        <w:t>　　　　　　　　　　　　　　　　　　　　　　　　二○一一年六月十八日</w:t>
      </w:r>
    </w:p>
    <w:p>
      <w:pPr>
        <w:pStyle w:val="NormalWeb"/>
        <w:jc w:val="center"/>
        <w:rPr>
          <w:color w:val="auto"/>
          <w:highlight w:val="none"/>
        </w:rPr>
      </w:pPr>
      <w:r>
        <w:rPr>
          <w:rStyle w:val="Strong"/>
          <w:color w:val="auto"/>
          <w:highlight w:val="none"/>
        </w:rPr>
        <w:t>中小企业划型标准规定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一、根据《中华人民共和国中小企业促进法》和《国务院关于进一步促进中小企业发展的若干意见》(国发〔2009〕36号)，制定本规定。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二、中小企业划分为中型、小型、微型三种类型，具体标准根据企业从业人员、营业收入、资产总额等指标，结合行业特点制定。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四、各行业划型标准为：</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（十六）其他未列明行业。从业人员300人以下的为中小微型企业。其中，从业人员100人及以上的为中型企业；从业人员10人及以上的为小型企业；从业人员10人以下的为微型企业。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五、企业类型的划分以统计部门的统计数据为依据。</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六、本规定适用于在中华人民共和国境内依法设立的各类所有制和各种组织形式的企业。个体工商户和本规定以外的行业，参照本规定进行划型。</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八、本规定由工业和信息化部、国家统计局会同有关部门根据《国民经济行业分类》修订情况和企业发展变化情况适时修订。</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九、本规定由工业和信息化部、国家统计局会同有关部门负责解释。</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　　十、本规定自发布之日起执行，原国家经贸委、原国家计委、财政部和国家统计局2003年颁布的《中小企业标准暂行规定》同时废止。</w:t>
      </w:r>
    </w:p>
    <w:p>
      <w:pPr>
        <w:rPr>
          <w:rFonts w:ascii="宋体" w:hAnsi="宋体" w:cs="宋体"/>
          <w:color w:val="auto"/>
          <w:szCs w:val="21"/>
          <w:highlight w:val="none"/>
        </w:rPr>
      </w:pPr>
      <w:r>
        <w:rPr>
          <w:rFonts w:ascii="宋体" w:hAnsi="宋体" w:cs="宋体" w:hint="eastAsia"/>
          <w:color w:val="auto"/>
          <w:szCs w:val="21"/>
          <w:highlight w:val="none"/>
        </w:rPr>
        <w:br w:type="page"/>
      </w:r>
    </w:p>
    <w:p>
      <w:pPr>
        <w:spacing w:line="375" w:lineRule="atLeast"/>
        <w:jc w:val="center"/>
        <w:rPr>
          <w:color w:val="auto"/>
          <w:sz w:val="28"/>
          <w:szCs w:val="28"/>
          <w:highlight w:val="none"/>
        </w:rPr>
      </w:pPr>
      <w:r>
        <w:rPr>
          <w:rFonts w:ascii="宋体" w:hAnsi="宋体" w:cs="宋体" w:hint="eastAsia"/>
          <w:b/>
          <w:color w:val="auto"/>
          <w:kern w:val="0"/>
          <w:sz w:val="28"/>
          <w:szCs w:val="28"/>
          <w:highlight w:val="none"/>
        </w:rPr>
        <w:t>国家统计局关于印发《统计上大中小微型企业划分办法（</w:t>
      </w:r>
      <w:r>
        <w:rPr>
          <w:b/>
          <w:color w:val="auto"/>
          <w:kern w:val="0"/>
          <w:sz w:val="28"/>
          <w:szCs w:val="28"/>
          <w:highlight w:val="none"/>
        </w:rPr>
        <w:t>2017</w:t>
      </w:r>
      <w:r>
        <w:rPr>
          <w:rFonts w:ascii="宋体" w:hAnsi="宋体" w:cs="宋体" w:hint="eastAsia"/>
          <w:b/>
          <w:color w:val="auto"/>
          <w:kern w:val="0"/>
          <w:sz w:val="28"/>
          <w:szCs w:val="28"/>
          <w:highlight w:val="none"/>
        </w:rPr>
        <w:t>）》的通知</w:t>
      </w:r>
    </w:p>
    <w:p>
      <w:pPr>
        <w:pStyle w:val="NormalWeb"/>
        <w:spacing w:line="440" w:lineRule="exact"/>
        <w:jc w:val="center"/>
        <w:rPr>
          <w:rFonts w:ascii="宋体" w:hAnsi="宋体" w:cs="宋体"/>
          <w:color w:val="auto"/>
          <w:sz w:val="21"/>
          <w:szCs w:val="21"/>
          <w:highlight w:val="none"/>
        </w:rPr>
      </w:pPr>
      <w:r>
        <w:rPr>
          <w:rFonts w:ascii="宋体" w:hAnsi="宋体" w:cs="宋体" w:hint="eastAsia"/>
          <w:color w:val="auto"/>
          <w:sz w:val="21"/>
          <w:szCs w:val="21"/>
          <w:highlight w:val="none"/>
        </w:rPr>
        <w:t>国统字〔2017〕213号</w:t>
      </w:r>
    </w:p>
    <w:p>
      <w:pPr>
        <w:pStyle w:val="NormalWeb"/>
        <w:spacing w:line="440" w:lineRule="exact"/>
        <w:rPr>
          <w:rFonts w:ascii="宋体" w:hAnsi="宋体" w:cs="宋体"/>
          <w:color w:val="auto"/>
          <w:sz w:val="21"/>
          <w:szCs w:val="21"/>
          <w:highlight w:val="none"/>
        </w:rPr>
      </w:pPr>
      <w:r>
        <w:rPr>
          <w:rFonts w:ascii="宋体" w:hAnsi="宋体" w:cs="宋体" w:hint="eastAsia"/>
          <w:color w:val="auto"/>
          <w:sz w:val="21"/>
          <w:szCs w:val="21"/>
          <w:highlight w:val="none"/>
        </w:rPr>
        <w:t>各省、自治区、直辖市统计局，新疆生产建设兵团统计局，国务院各有关部门，国家统计局各调查总队：</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《国民经济行业分类》（</w:t>
      </w:r>
      <w:r>
        <w:rPr>
          <w:rFonts w:ascii="宋体" w:hAnsi="宋体" w:cs="宋体"/>
          <w:color w:val="auto"/>
          <w:sz w:val="21"/>
          <w:szCs w:val="21"/>
          <w:highlight w:val="none"/>
        </w:rPr>
        <w:t>GB/T 4754</w:t>
      </w:r>
      <w:r>
        <w:rPr>
          <w:rFonts w:ascii="宋体" w:hAnsi="宋体" w:cs="宋体" w:hint="eastAsia"/>
          <w:color w:val="auto"/>
          <w:sz w:val="21"/>
          <w:szCs w:val="21"/>
          <w:highlight w:val="none"/>
        </w:rPr>
        <w:t>—</w:t>
      </w:r>
      <w:r>
        <w:rPr>
          <w:rFonts w:ascii="宋体" w:hAnsi="宋体" w:cs="宋体"/>
          <w:color w:val="auto"/>
          <w:sz w:val="21"/>
          <w:szCs w:val="21"/>
          <w:highlight w:val="none"/>
        </w:rPr>
        <w:t>2017</w:t>
      </w:r>
      <w:r>
        <w:rPr>
          <w:rFonts w:ascii="宋体" w:hAnsi="宋体" w:cs="宋体" w:hint="eastAsia"/>
          <w:color w:val="auto"/>
          <w:sz w:val="21"/>
          <w:szCs w:val="21"/>
          <w:highlight w:val="none"/>
        </w:rPr>
        <w:t>）已正式实施，现对</w:t>
      </w:r>
      <w:r>
        <w:rPr>
          <w:rFonts w:ascii="宋体" w:hAnsi="宋体" w:cs="宋体"/>
          <w:color w:val="auto"/>
          <w:sz w:val="21"/>
          <w:szCs w:val="21"/>
          <w:highlight w:val="none"/>
        </w:rPr>
        <w:t>2011</w:t>
      </w:r>
      <w:r>
        <w:rPr>
          <w:rFonts w:ascii="宋体" w:hAnsi="宋体" w:cs="宋体" w:hint="eastAsia"/>
          <w:color w:val="auto"/>
          <w:sz w:val="21"/>
          <w:szCs w:val="21"/>
          <w:highlight w:val="none"/>
        </w:rPr>
        <w:t>年制定的《统计上大中小微型企业划分办法》进行修订。本次修订保持原有的分类原则、方法、结构框架和适用范围，仅将所涉及的行业按照《国民经济行业分类》（</w:t>
      </w:r>
      <w:r>
        <w:rPr>
          <w:rFonts w:ascii="宋体" w:hAnsi="宋体" w:cs="宋体"/>
          <w:color w:val="auto"/>
          <w:sz w:val="21"/>
          <w:szCs w:val="21"/>
          <w:highlight w:val="none"/>
        </w:rPr>
        <w:t>GB/T 4754</w:t>
      </w:r>
      <w:r>
        <w:rPr>
          <w:rFonts w:ascii="宋体" w:hAnsi="宋体" w:cs="宋体" w:hint="eastAsia"/>
          <w:color w:val="auto"/>
          <w:sz w:val="21"/>
          <w:szCs w:val="21"/>
          <w:highlight w:val="none"/>
        </w:rPr>
        <w:t>—</w:t>
      </w:r>
      <w:r>
        <w:rPr>
          <w:rFonts w:ascii="宋体" w:hAnsi="宋体" w:cs="宋体"/>
          <w:color w:val="auto"/>
          <w:sz w:val="21"/>
          <w:szCs w:val="21"/>
          <w:highlight w:val="none"/>
        </w:rPr>
        <w:t>2011</w:t>
      </w:r>
      <w:r>
        <w:rPr>
          <w:rFonts w:ascii="宋体" w:hAnsi="宋体" w:cs="宋体" w:hint="eastAsia"/>
          <w:color w:val="auto"/>
          <w:sz w:val="21"/>
          <w:szCs w:val="21"/>
          <w:highlight w:val="none"/>
        </w:rPr>
        <w:t>）和《国民经济行业分类》（</w:t>
      </w:r>
      <w:r>
        <w:rPr>
          <w:rFonts w:ascii="宋体" w:hAnsi="宋体" w:cs="宋体"/>
          <w:color w:val="auto"/>
          <w:sz w:val="21"/>
          <w:szCs w:val="21"/>
          <w:highlight w:val="none"/>
        </w:rPr>
        <w:t>GB/T 4754</w:t>
      </w:r>
      <w:r>
        <w:rPr>
          <w:rFonts w:ascii="宋体" w:hAnsi="宋体" w:cs="宋体" w:hint="eastAsia"/>
          <w:color w:val="auto"/>
          <w:sz w:val="21"/>
          <w:szCs w:val="21"/>
          <w:highlight w:val="none"/>
        </w:rPr>
        <w:t>—</w:t>
      </w:r>
      <w:r>
        <w:rPr>
          <w:rFonts w:ascii="宋体" w:hAnsi="宋体" w:cs="宋体"/>
          <w:color w:val="auto"/>
          <w:sz w:val="21"/>
          <w:szCs w:val="21"/>
          <w:highlight w:val="none"/>
        </w:rPr>
        <w:t>2017</w:t>
      </w:r>
      <w:r>
        <w:rPr>
          <w:rFonts w:ascii="宋体" w:hAnsi="宋体" w:cs="宋体" w:hint="eastAsia"/>
          <w:color w:val="auto"/>
          <w:sz w:val="21"/>
          <w:szCs w:val="21"/>
          <w:highlight w:val="none"/>
        </w:rPr>
        <w:t>）的对应关系，进行相应调整，形成《统计上大中小微型企业划分办法（</w:t>
      </w:r>
      <w:r>
        <w:rPr>
          <w:rFonts w:ascii="宋体" w:hAnsi="宋体" w:cs="宋体"/>
          <w:color w:val="auto"/>
          <w:sz w:val="21"/>
          <w:szCs w:val="21"/>
          <w:highlight w:val="none"/>
        </w:rPr>
        <w:t>2017</w:t>
      </w:r>
      <w:r>
        <w:rPr>
          <w:rFonts w:ascii="宋体" w:hAnsi="宋体" w:cs="宋体" w:hint="eastAsia"/>
          <w:color w:val="auto"/>
          <w:sz w:val="21"/>
          <w:szCs w:val="21"/>
          <w:highlight w:val="none"/>
        </w:rPr>
        <w:t>）》。现将《统计上大中小微型企业划分办法（</w:t>
      </w:r>
      <w:r>
        <w:rPr>
          <w:rFonts w:ascii="宋体" w:hAnsi="宋体" w:cs="宋体"/>
          <w:color w:val="auto"/>
          <w:sz w:val="21"/>
          <w:szCs w:val="21"/>
          <w:highlight w:val="none"/>
        </w:rPr>
        <w:t>2017</w:t>
      </w:r>
      <w:r>
        <w:rPr>
          <w:rFonts w:ascii="宋体" w:hAnsi="宋体" w:cs="宋体" w:hint="eastAsia"/>
          <w:color w:val="auto"/>
          <w:sz w:val="21"/>
          <w:szCs w:val="21"/>
          <w:highlight w:val="none"/>
        </w:rPr>
        <w:t>）》印发给你们，请在统计工作中认真贯彻执行。</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color w:val="auto"/>
          <w:sz w:val="21"/>
          <w:szCs w:val="21"/>
          <w:highlight w:val="none"/>
        </w:rPr>
        <w:t> </w:t>
      </w:r>
      <w:r>
        <w:rPr>
          <w:rFonts w:ascii="宋体" w:hAnsi="宋体" w:cs="宋体" w:hint="eastAsia"/>
          <w:color w:val="auto"/>
          <w:sz w:val="21"/>
          <w:szCs w:val="21"/>
          <w:highlight w:val="none"/>
        </w:rPr>
        <w:t>附件：《统计上大中小微型企业划分办法（</w:t>
      </w:r>
      <w:r>
        <w:rPr>
          <w:rFonts w:ascii="宋体" w:hAnsi="宋体" w:cs="宋体"/>
          <w:color w:val="auto"/>
          <w:sz w:val="21"/>
          <w:szCs w:val="21"/>
          <w:highlight w:val="none"/>
        </w:rPr>
        <w:t>2017</w:t>
      </w:r>
      <w:r>
        <w:rPr>
          <w:rFonts w:ascii="宋体" w:hAnsi="宋体" w:cs="宋体" w:hint="eastAsia"/>
          <w:color w:val="auto"/>
          <w:sz w:val="21"/>
          <w:szCs w:val="21"/>
          <w:highlight w:val="none"/>
        </w:rPr>
        <w:t>）》修订说明</w:t>
      </w:r>
    </w:p>
    <w:p>
      <w:pPr>
        <w:pStyle w:val="NormalWeb"/>
        <w:spacing w:line="440" w:lineRule="exact"/>
        <w:ind w:firstLine="420" w:firstLineChars="200"/>
        <w:jc w:val="right"/>
        <w:rPr>
          <w:rFonts w:ascii="宋体" w:hAnsi="宋体" w:cs="宋体"/>
          <w:color w:val="auto"/>
          <w:sz w:val="21"/>
          <w:szCs w:val="21"/>
          <w:highlight w:val="none"/>
        </w:rPr>
      </w:pPr>
      <w:r>
        <w:rPr>
          <w:rFonts w:ascii="宋体" w:hAnsi="宋体" w:cs="宋体"/>
          <w:color w:val="auto"/>
          <w:sz w:val="21"/>
          <w:szCs w:val="21"/>
          <w:highlight w:val="none"/>
        </w:rPr>
        <w:t> </w:t>
      </w:r>
    </w:p>
    <w:p>
      <w:pPr>
        <w:pStyle w:val="NormalWeb"/>
        <w:spacing w:line="440" w:lineRule="exact"/>
        <w:ind w:firstLine="420" w:firstLineChars="200"/>
        <w:jc w:val="right"/>
        <w:rPr>
          <w:rFonts w:ascii="宋体" w:hAnsi="宋体" w:cs="宋体"/>
          <w:color w:val="auto"/>
          <w:sz w:val="21"/>
          <w:szCs w:val="21"/>
          <w:highlight w:val="none"/>
        </w:rPr>
      </w:pPr>
      <w:r>
        <w:rPr>
          <w:rFonts w:ascii="宋体" w:hAnsi="宋体" w:cs="宋体" w:hint="eastAsia"/>
          <w:color w:val="auto"/>
          <w:sz w:val="21"/>
          <w:szCs w:val="21"/>
          <w:highlight w:val="none"/>
        </w:rPr>
        <w:t xml:space="preserve">国家统计局   </w:t>
      </w:r>
    </w:p>
    <w:p>
      <w:pPr>
        <w:pStyle w:val="NormalWeb"/>
        <w:spacing w:line="440" w:lineRule="exact"/>
        <w:ind w:firstLine="420" w:firstLineChars="200"/>
        <w:jc w:val="right"/>
        <w:rPr>
          <w:rFonts w:ascii="宋体" w:hAnsi="宋体" w:cs="宋体"/>
          <w:color w:val="auto"/>
          <w:sz w:val="21"/>
          <w:szCs w:val="21"/>
          <w:highlight w:val="none"/>
        </w:rPr>
      </w:pPr>
      <w:r>
        <w:rPr>
          <w:rFonts w:ascii="宋体" w:hAnsi="宋体" w:cs="宋体"/>
          <w:color w:val="auto"/>
          <w:sz w:val="21"/>
          <w:szCs w:val="21"/>
          <w:highlight w:val="none"/>
        </w:rPr>
        <w:t>2017</w:t>
      </w:r>
      <w:r>
        <w:rPr>
          <w:rFonts w:ascii="宋体" w:hAnsi="宋体" w:cs="宋体" w:hint="eastAsia"/>
          <w:color w:val="auto"/>
          <w:sz w:val="21"/>
          <w:szCs w:val="21"/>
          <w:highlight w:val="none"/>
        </w:rPr>
        <w:t>年</w:t>
      </w:r>
      <w:r>
        <w:rPr>
          <w:rFonts w:ascii="宋体" w:hAnsi="宋体" w:cs="宋体"/>
          <w:color w:val="auto"/>
          <w:sz w:val="21"/>
          <w:szCs w:val="21"/>
          <w:highlight w:val="none"/>
        </w:rPr>
        <w:t>12</w:t>
      </w:r>
      <w:r>
        <w:rPr>
          <w:rFonts w:ascii="宋体" w:hAnsi="宋体" w:cs="宋体" w:hint="eastAsia"/>
          <w:color w:val="auto"/>
          <w:sz w:val="21"/>
          <w:szCs w:val="21"/>
          <w:highlight w:val="none"/>
        </w:rPr>
        <w:t>月</w:t>
      </w:r>
      <w:r>
        <w:rPr>
          <w:rFonts w:ascii="宋体" w:hAnsi="宋体" w:cs="宋体"/>
          <w:color w:val="auto"/>
          <w:sz w:val="21"/>
          <w:szCs w:val="21"/>
          <w:highlight w:val="none"/>
        </w:rPr>
        <w:t>28</w:t>
      </w:r>
      <w:r>
        <w:rPr>
          <w:rFonts w:ascii="宋体" w:hAnsi="宋体" w:cs="宋体" w:hint="eastAsia"/>
          <w:color w:val="auto"/>
          <w:sz w:val="21"/>
          <w:szCs w:val="21"/>
          <w:highlight w:val="none"/>
        </w:rPr>
        <w:t>日</w:t>
      </w:r>
    </w:p>
    <w:p>
      <w:pPr>
        <w:pStyle w:val="NormalWeb"/>
        <w:spacing w:line="440" w:lineRule="exact"/>
        <w:jc w:val="center"/>
        <w:rPr>
          <w:rFonts w:ascii="宋体" w:hAnsi="宋体" w:cs="宋体"/>
          <w:color w:val="auto"/>
          <w:highlight w:val="none"/>
        </w:rPr>
      </w:pPr>
      <w:r>
        <w:rPr>
          <w:rFonts w:ascii="宋体" w:hAnsi="宋体" w:cs="宋体" w:hint="eastAsia"/>
          <w:b/>
          <w:color w:val="auto"/>
          <w:highlight w:val="none"/>
        </w:rPr>
        <w:t>统计上大中小微型企业划分办法（2017）</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一、根据工业和信息化部、国家统计局、国家发展改革委、财政部《关于印发中小企业划型标准规定的通知》（工信部联企业〔</w:t>
      </w:r>
      <w:r>
        <w:rPr>
          <w:rFonts w:ascii="宋体" w:hAnsi="宋体" w:cs="宋体"/>
          <w:color w:val="auto"/>
          <w:sz w:val="21"/>
          <w:szCs w:val="21"/>
          <w:highlight w:val="none"/>
        </w:rPr>
        <w:t>2011</w:t>
      </w:r>
      <w:r>
        <w:rPr>
          <w:rFonts w:ascii="宋体" w:hAnsi="宋体" w:cs="宋体" w:hint="eastAsia"/>
          <w:color w:val="auto"/>
          <w:sz w:val="21"/>
          <w:szCs w:val="21"/>
          <w:highlight w:val="none"/>
        </w:rPr>
        <w:t>〕</w:t>
      </w:r>
      <w:r>
        <w:rPr>
          <w:rFonts w:ascii="宋体" w:hAnsi="宋体" w:cs="宋体"/>
          <w:color w:val="auto"/>
          <w:sz w:val="21"/>
          <w:szCs w:val="21"/>
          <w:highlight w:val="none"/>
        </w:rPr>
        <w:t>300</w:t>
      </w:r>
      <w:r>
        <w:rPr>
          <w:rFonts w:ascii="宋体" w:hAnsi="宋体" w:cs="宋体" w:hint="eastAsia"/>
          <w:color w:val="auto"/>
          <w:sz w:val="21"/>
          <w:szCs w:val="21"/>
          <w:highlight w:val="none"/>
        </w:rPr>
        <w:t>号），以《国民经济行业分类》（</w:t>
      </w:r>
      <w:r>
        <w:rPr>
          <w:rFonts w:ascii="宋体" w:hAnsi="宋体" w:cs="宋体"/>
          <w:color w:val="auto"/>
          <w:sz w:val="21"/>
          <w:szCs w:val="21"/>
          <w:highlight w:val="none"/>
        </w:rPr>
        <w:t>GB/T4754-2017</w:t>
      </w:r>
      <w:r>
        <w:rPr>
          <w:rFonts w:ascii="宋体" w:hAnsi="宋体" w:cs="宋体" w:hint="eastAsia"/>
          <w:color w:val="auto"/>
          <w:sz w:val="21"/>
          <w:szCs w:val="21"/>
          <w:highlight w:val="none"/>
        </w:rPr>
        <w:t>）为基础，结合统计工作的实际情况，制定本办法。</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二、本办法适用对象为在中华人民共和国境内依法设立的各种组织形式的法人企业或单位。个体工商户参照本办法进行划分。</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宋体" w:hAnsi="宋体" w:cs="宋体"/>
          <w:color w:val="auto"/>
          <w:sz w:val="21"/>
          <w:szCs w:val="21"/>
          <w:highlight w:val="none"/>
        </w:rPr>
        <w:t>15</w:t>
      </w:r>
      <w:r>
        <w:rPr>
          <w:rFonts w:ascii="宋体" w:hAnsi="宋体" w:cs="宋体" w:hint="eastAsia"/>
          <w:color w:val="auto"/>
          <w:sz w:val="21"/>
          <w:szCs w:val="21"/>
          <w:highlight w:val="none"/>
        </w:rPr>
        <w:t>个行业门类以及社会工作行业大类。</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四、本办法按照行业门类、大类、中类和组合类别，依据从业人员、营业收入、资产总额等指标或替代指标，将我国的企业划分为大型、中型、小型、微型等四种类型。具体划分标准见附表。</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五、企业划分由政府综合统计部门根据统计年报每年确定一次，定报统计原则上不进行调整。</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六、本办法自印发之日起执行，国家统计局</w:t>
      </w:r>
      <w:r>
        <w:rPr>
          <w:rFonts w:ascii="宋体" w:hAnsi="宋体" w:cs="宋体"/>
          <w:color w:val="auto"/>
          <w:sz w:val="21"/>
          <w:szCs w:val="21"/>
          <w:highlight w:val="none"/>
        </w:rPr>
        <w:t>2011</w:t>
      </w:r>
      <w:r>
        <w:rPr>
          <w:rFonts w:ascii="宋体" w:hAnsi="宋体" w:cs="宋体" w:hint="eastAsia"/>
          <w:color w:val="auto"/>
          <w:sz w:val="21"/>
          <w:szCs w:val="21"/>
          <w:highlight w:val="none"/>
        </w:rPr>
        <w:t>年印发的《统计上大中小微型企业划分办法》（国统字〔</w:t>
      </w:r>
      <w:r>
        <w:rPr>
          <w:rFonts w:ascii="宋体" w:hAnsi="宋体" w:cs="宋体"/>
          <w:color w:val="auto"/>
          <w:sz w:val="21"/>
          <w:szCs w:val="21"/>
          <w:highlight w:val="none"/>
        </w:rPr>
        <w:t>2011</w:t>
      </w:r>
      <w:r>
        <w:rPr>
          <w:rFonts w:ascii="宋体" w:hAnsi="宋体" w:cs="宋体" w:hint="eastAsia"/>
          <w:color w:val="auto"/>
          <w:sz w:val="21"/>
          <w:szCs w:val="21"/>
          <w:highlight w:val="none"/>
        </w:rPr>
        <w:t>〕</w:t>
      </w:r>
      <w:r>
        <w:rPr>
          <w:rFonts w:ascii="宋体" w:hAnsi="宋体" w:cs="宋体"/>
          <w:color w:val="auto"/>
          <w:sz w:val="21"/>
          <w:szCs w:val="21"/>
          <w:highlight w:val="none"/>
        </w:rPr>
        <w:t>75</w:t>
      </w:r>
      <w:r>
        <w:rPr>
          <w:rFonts w:ascii="宋体" w:hAnsi="宋体" w:cs="宋体" w:hint="eastAsia"/>
          <w:color w:val="auto"/>
          <w:sz w:val="21"/>
          <w:szCs w:val="21"/>
          <w:highlight w:val="none"/>
        </w:rPr>
        <w:t>号）同时废止。</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附表：统计上大中小微型企业划分标准</w:t>
      </w:r>
    </w:p>
    <w:p>
      <w:pPr>
        <w:pStyle w:val="NormalWeb"/>
        <w:spacing w:line="440" w:lineRule="exact"/>
        <w:rPr>
          <w:rFonts w:ascii="宋体" w:hAnsi="宋体" w:cs="宋体"/>
          <w:color w:val="auto"/>
          <w:sz w:val="21"/>
          <w:szCs w:val="21"/>
          <w:highlight w:val="none"/>
        </w:rPr>
      </w:pPr>
      <w:r>
        <w:rPr>
          <w:rFonts w:ascii="宋体" w:hAnsi="宋体" w:cs="宋体" w:hint="eastAsia"/>
          <w:color w:val="auto"/>
          <w:sz w:val="21"/>
          <w:szCs w:val="21"/>
          <w:highlight w:val="none"/>
        </w:rPr>
        <w:t>附表</w:t>
      </w:r>
    </w:p>
    <w:p>
      <w:pPr>
        <w:pStyle w:val="NormalWeb"/>
        <w:spacing w:line="440" w:lineRule="exact"/>
        <w:ind w:firstLine="420" w:firstLineChars="200"/>
        <w:jc w:val="center"/>
        <w:rPr>
          <w:rFonts w:ascii="宋体" w:hAnsi="宋体" w:cs="宋体"/>
          <w:b/>
          <w:bCs/>
          <w:color w:val="auto"/>
          <w:highlight w:val="none"/>
        </w:rPr>
      </w:pPr>
      <w:r>
        <w:rPr>
          <w:rFonts w:ascii="宋体" w:hAnsi="宋体" w:cs="宋体" w:hint="eastAsia"/>
          <w:b/>
          <w:bCs/>
          <w:color w:val="auto"/>
          <w:highlight w:val="none"/>
        </w:rPr>
        <w:t>统计上大中小微型企业划分标准</w:t>
      </w:r>
    </w:p>
    <w:tbl>
      <w:tblPr>
        <w:tblStyle w:val="TableNormal"/>
        <w:tblpPr w:leftFromText="180" w:rightFromText="180" w:vertAnchor="text" w:horzAnchor="page" w:tblpX="1334" w:tblpY="456"/>
        <w:tblOverlap w:val="never"/>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10"/>
        <w:gridCol w:w="1238"/>
        <w:gridCol w:w="641"/>
        <w:gridCol w:w="1017"/>
        <w:gridCol w:w="1537"/>
        <w:gridCol w:w="1289"/>
        <w:gridCol w:w="897"/>
      </w:tblGrid>
      <w:tr>
        <w:tblPrEx>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622"/>
        </w:trPr>
        <w:tc>
          <w:tcPr>
            <w:tcW w:w="1910" w:type="dxa"/>
            <w:tcBorders>
              <w:tl2br w:val="nil"/>
              <w:tr2bl w:val="nil"/>
            </w:tcBorders>
            <w:shd w:val="clear" w:color="auto" w:fill="auto"/>
            <w:vAlign w:val="center"/>
          </w:tcPr>
          <w:p>
            <w:pPr>
              <w:spacing w:line="240" w:lineRule="exact"/>
              <w:jc w:val="center"/>
              <w:rPr>
                <w:rFonts w:ascii="宋体" w:hAnsi="宋体" w:cs="宋体"/>
                <w:b/>
                <w:bCs/>
                <w:color w:val="auto"/>
                <w:kern w:val="0"/>
                <w:sz w:val="18"/>
                <w:szCs w:val="18"/>
                <w:highlight w:val="none"/>
              </w:rPr>
            </w:pPr>
            <w:r>
              <w:rPr>
                <w:rFonts w:ascii="宋体" w:hAnsi="宋体" w:cs="宋体" w:hint="eastAsia"/>
                <w:b/>
                <w:bCs/>
                <w:color w:val="auto"/>
                <w:kern w:val="0"/>
                <w:sz w:val="18"/>
                <w:szCs w:val="18"/>
                <w:highlight w:val="none"/>
              </w:rPr>
              <w:t>行业名称</w:t>
            </w:r>
          </w:p>
        </w:tc>
        <w:tc>
          <w:tcPr>
            <w:tcW w:w="1238" w:type="dxa"/>
            <w:tcBorders>
              <w:tl2br w:val="nil"/>
              <w:tr2bl w:val="nil"/>
            </w:tcBorders>
            <w:shd w:val="clear" w:color="auto" w:fill="auto"/>
            <w:vAlign w:val="center"/>
          </w:tcPr>
          <w:p>
            <w:pPr>
              <w:jc w:val="center"/>
              <w:rPr>
                <w:rFonts w:ascii="宋体" w:hAnsi="宋体" w:cs="宋体"/>
                <w:b/>
                <w:bCs/>
                <w:color w:val="auto"/>
                <w:kern w:val="0"/>
                <w:sz w:val="18"/>
                <w:szCs w:val="18"/>
                <w:highlight w:val="none"/>
              </w:rPr>
            </w:pPr>
            <w:r>
              <w:rPr>
                <w:rFonts w:ascii="宋体" w:hAnsi="宋体" w:cs="宋体" w:hint="eastAsia"/>
                <w:b/>
                <w:bCs/>
                <w:color w:val="auto"/>
                <w:kern w:val="0"/>
                <w:sz w:val="18"/>
                <w:szCs w:val="18"/>
                <w:highlight w:val="none"/>
              </w:rPr>
              <w:t>指标名称</w:t>
            </w:r>
          </w:p>
        </w:tc>
        <w:tc>
          <w:tcPr>
            <w:tcW w:w="641" w:type="dxa"/>
            <w:tcBorders>
              <w:tl2br w:val="nil"/>
              <w:tr2bl w:val="nil"/>
            </w:tcBorders>
            <w:shd w:val="clear" w:color="auto" w:fill="auto"/>
            <w:vAlign w:val="center"/>
          </w:tcPr>
          <w:p>
            <w:pPr>
              <w:jc w:val="center"/>
              <w:rPr>
                <w:rFonts w:ascii="宋体" w:eastAsia="宋体" w:hAnsi="宋体" w:cs="宋体" w:hint="eastAsia"/>
                <w:b/>
                <w:bCs/>
                <w:color w:val="auto"/>
                <w:kern w:val="0"/>
                <w:sz w:val="18"/>
                <w:szCs w:val="18"/>
                <w:highlight w:val="none"/>
                <w:lang w:eastAsia="zh-CN"/>
              </w:rPr>
            </w:pPr>
            <w:r>
              <w:rPr>
                <w:rFonts w:ascii="宋体" w:hAnsi="宋体" w:cs="宋体" w:hint="eastAsia"/>
                <w:b/>
                <w:bCs/>
                <w:color w:val="auto"/>
                <w:kern w:val="0"/>
                <w:sz w:val="18"/>
                <w:szCs w:val="18"/>
                <w:highlight w:val="none"/>
              </w:rPr>
              <w:t>计量</w:t>
            </w:r>
          </w:p>
          <w:p>
            <w:pPr>
              <w:jc w:val="center"/>
              <w:rPr>
                <w:rFonts w:ascii="宋体" w:hAnsi="宋体" w:cs="宋体"/>
                <w:b/>
                <w:bCs/>
                <w:color w:val="auto"/>
                <w:kern w:val="0"/>
                <w:sz w:val="18"/>
                <w:szCs w:val="18"/>
                <w:highlight w:val="none"/>
              </w:rPr>
            </w:pPr>
            <w:r>
              <w:rPr>
                <w:rFonts w:ascii="宋体" w:hAnsi="宋体" w:cs="宋体" w:hint="eastAsia"/>
                <w:b/>
                <w:bCs/>
                <w:color w:val="auto"/>
                <w:kern w:val="0"/>
                <w:sz w:val="18"/>
                <w:szCs w:val="18"/>
                <w:highlight w:val="none"/>
              </w:rPr>
              <w:t>单位</w:t>
            </w:r>
          </w:p>
        </w:tc>
        <w:tc>
          <w:tcPr>
            <w:tcW w:w="1017" w:type="dxa"/>
            <w:tcBorders>
              <w:tl2br w:val="nil"/>
              <w:tr2bl w:val="nil"/>
            </w:tcBorders>
            <w:shd w:val="clear" w:color="auto" w:fill="auto"/>
            <w:vAlign w:val="center"/>
          </w:tcPr>
          <w:p>
            <w:pPr>
              <w:jc w:val="center"/>
              <w:rPr>
                <w:rFonts w:ascii="宋体" w:hAnsi="宋体" w:cs="宋体"/>
                <w:b/>
                <w:bCs/>
                <w:color w:val="auto"/>
                <w:kern w:val="0"/>
                <w:sz w:val="18"/>
                <w:szCs w:val="18"/>
                <w:highlight w:val="none"/>
              </w:rPr>
            </w:pPr>
            <w:r>
              <w:rPr>
                <w:rFonts w:ascii="宋体" w:hAnsi="宋体" w:cs="宋体" w:hint="eastAsia"/>
                <w:b/>
                <w:bCs/>
                <w:color w:val="auto"/>
                <w:kern w:val="0"/>
                <w:sz w:val="18"/>
                <w:szCs w:val="18"/>
                <w:highlight w:val="none"/>
              </w:rPr>
              <w:t>大型</w:t>
            </w:r>
          </w:p>
        </w:tc>
        <w:tc>
          <w:tcPr>
            <w:tcW w:w="1537" w:type="dxa"/>
            <w:tcBorders>
              <w:tl2br w:val="nil"/>
              <w:tr2bl w:val="nil"/>
            </w:tcBorders>
            <w:shd w:val="clear" w:color="auto" w:fill="auto"/>
            <w:vAlign w:val="center"/>
          </w:tcPr>
          <w:p>
            <w:pPr>
              <w:jc w:val="center"/>
              <w:rPr>
                <w:rFonts w:ascii="宋体" w:hAnsi="宋体" w:cs="宋体"/>
                <w:b/>
                <w:bCs/>
                <w:color w:val="auto"/>
                <w:kern w:val="0"/>
                <w:sz w:val="18"/>
                <w:szCs w:val="18"/>
                <w:highlight w:val="none"/>
              </w:rPr>
            </w:pPr>
            <w:r>
              <w:rPr>
                <w:rFonts w:ascii="宋体" w:hAnsi="宋体" w:cs="宋体" w:hint="eastAsia"/>
                <w:b/>
                <w:bCs/>
                <w:color w:val="auto"/>
                <w:kern w:val="0"/>
                <w:sz w:val="18"/>
                <w:szCs w:val="18"/>
                <w:highlight w:val="none"/>
              </w:rPr>
              <w:t>中型</w:t>
            </w:r>
          </w:p>
        </w:tc>
        <w:tc>
          <w:tcPr>
            <w:tcW w:w="1289" w:type="dxa"/>
            <w:tcBorders>
              <w:tl2br w:val="nil"/>
              <w:tr2bl w:val="nil"/>
            </w:tcBorders>
            <w:shd w:val="clear" w:color="auto" w:fill="auto"/>
            <w:vAlign w:val="center"/>
          </w:tcPr>
          <w:p>
            <w:pPr>
              <w:jc w:val="center"/>
              <w:rPr>
                <w:rFonts w:ascii="宋体" w:hAnsi="宋体" w:cs="宋体"/>
                <w:b/>
                <w:bCs/>
                <w:color w:val="auto"/>
                <w:kern w:val="0"/>
                <w:sz w:val="18"/>
                <w:szCs w:val="18"/>
                <w:highlight w:val="none"/>
              </w:rPr>
            </w:pPr>
            <w:r>
              <w:rPr>
                <w:rFonts w:ascii="宋体" w:hAnsi="宋体" w:cs="宋体" w:hint="eastAsia"/>
                <w:b/>
                <w:bCs/>
                <w:color w:val="auto"/>
                <w:kern w:val="0"/>
                <w:sz w:val="18"/>
                <w:szCs w:val="18"/>
                <w:highlight w:val="none"/>
              </w:rPr>
              <w:t>小型</w:t>
            </w:r>
          </w:p>
        </w:tc>
        <w:tc>
          <w:tcPr>
            <w:tcW w:w="897" w:type="dxa"/>
            <w:tcBorders>
              <w:tl2br w:val="nil"/>
              <w:tr2bl w:val="nil"/>
            </w:tcBorders>
            <w:shd w:val="clear" w:color="auto" w:fill="auto"/>
            <w:vAlign w:val="center"/>
          </w:tcPr>
          <w:p>
            <w:pPr>
              <w:jc w:val="center"/>
              <w:rPr>
                <w:rFonts w:ascii="宋体" w:hAnsi="宋体" w:cs="宋体"/>
                <w:b/>
                <w:bCs/>
                <w:color w:val="auto"/>
                <w:kern w:val="0"/>
                <w:sz w:val="18"/>
                <w:szCs w:val="18"/>
                <w:highlight w:val="none"/>
              </w:rPr>
            </w:pPr>
            <w:r>
              <w:rPr>
                <w:rFonts w:ascii="宋体" w:hAnsi="宋体" w:cs="宋体" w:hint="eastAsia"/>
                <w:b/>
                <w:bCs/>
                <w:color w:val="auto"/>
                <w:kern w:val="0"/>
                <w:sz w:val="18"/>
                <w:szCs w:val="18"/>
                <w:highlight w:val="none"/>
              </w:rPr>
              <w:t>微型</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农、林、牧、渔业</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Y≥20000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500≤Y＜20000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50≤Y＜500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Y＜50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工业 *</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300≤X＜1000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20≤X＜300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X＜20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Y≥40000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2000≤Y＜40000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300≤Y＜2000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Y＜300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建筑业</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Y≥80000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6000≤Y＜80000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300≤Y＜6000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Y＜300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资产总额(Z)</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Z≥80000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5000≤Z＜80000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300≤Z＜5000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Z＜300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批发业</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X≥200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20≤X＜200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5≤X＜20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X＜5</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Y≥40000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5000≤Y＜40000</w:t>
            </w:r>
          </w:p>
        </w:tc>
        <w:tc>
          <w:tcPr>
            <w:tcW w:w="1289" w:type="dxa"/>
            <w:tcBorders>
              <w:tl2br w:val="nil"/>
              <w:tr2bl w:val="nil"/>
            </w:tcBorders>
            <w:shd w:val="clear" w:color="auto" w:fill="auto"/>
            <w:vAlign w:val="center"/>
          </w:tcPr>
          <w:p>
            <w:pPr>
              <w:ind w:left="-1" w:hanging="1" w:leftChars="-1"/>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1000≤Y＜5000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零售业</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X≥300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50≤X＜300</w:t>
            </w:r>
          </w:p>
        </w:tc>
        <w:tc>
          <w:tcPr>
            <w:tcW w:w="1289" w:type="dxa"/>
            <w:tcBorders>
              <w:tl2br w:val="nil"/>
              <w:tr2bl w:val="nil"/>
            </w:tcBorders>
            <w:shd w:val="clear" w:color="auto" w:fill="auto"/>
            <w:vAlign w:val="center"/>
          </w:tcPr>
          <w:p>
            <w:pPr>
              <w:ind w:left="-1" w:hanging="1" w:leftChars="-1"/>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10≤X＜50 </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Y≥20000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500≤Y＜20000</w:t>
            </w:r>
          </w:p>
        </w:tc>
        <w:tc>
          <w:tcPr>
            <w:tcW w:w="1289" w:type="dxa"/>
            <w:tcBorders>
              <w:tl2br w:val="nil"/>
              <w:tr2bl w:val="nil"/>
            </w:tcBorders>
            <w:shd w:val="clear" w:color="auto" w:fill="auto"/>
            <w:vAlign w:val="center"/>
          </w:tcPr>
          <w:p>
            <w:pPr>
              <w:ind w:left="-1" w:hanging="1" w:leftChars="-1"/>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100≤Y＜500 </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交通运输业 *</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300≤X＜1000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20≤X＜300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X＜20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Y≥30000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3000≤Y＜30000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200≤Y＜3000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Y＜200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仓储业*</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X≥200</w:t>
            </w:r>
          </w:p>
        </w:tc>
        <w:tc>
          <w:tcPr>
            <w:tcW w:w="1537" w:type="dxa"/>
            <w:tcBorders>
              <w:tl2br w:val="nil"/>
              <w:tr2bl w:val="nil"/>
            </w:tcBorders>
            <w:shd w:val="clear" w:color="auto" w:fill="auto"/>
            <w:vAlign w:val="center"/>
          </w:tcPr>
          <w:p>
            <w:pPr>
              <w:ind w:left="19" w:hanging="126" w:leftChars="-51" w:hangingChars="60"/>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100≤X＜200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20≤X＜100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X＜20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Y≥30000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1000≤Y＜30000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100≤Y＜1000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邮政业</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300≤X＜1000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20≤X＜300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X＜20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Y≥30000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2000≤Y＜30000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100≤Y＜2000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住宿业</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X≥300</w:t>
            </w:r>
          </w:p>
        </w:tc>
        <w:tc>
          <w:tcPr>
            <w:tcW w:w="1537" w:type="dxa"/>
            <w:tcBorders>
              <w:tl2br w:val="nil"/>
              <w:tr2bl w:val="nil"/>
            </w:tcBorders>
            <w:shd w:val="clear" w:color="auto" w:fill="auto"/>
            <w:vAlign w:val="center"/>
          </w:tcPr>
          <w:p>
            <w:pPr>
              <w:ind w:left="19" w:hanging="126" w:leftChars="-51" w:hangingChars="60"/>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100≤X＜300 </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10≤X＜100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2000≤Y＜10000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100≤Y＜2000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餐饮业</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X≥300</w:t>
            </w:r>
          </w:p>
        </w:tc>
        <w:tc>
          <w:tcPr>
            <w:tcW w:w="1537" w:type="dxa"/>
            <w:tcBorders>
              <w:tl2br w:val="nil"/>
              <w:tr2bl w:val="nil"/>
            </w:tcBorders>
            <w:shd w:val="clear" w:color="auto" w:fill="auto"/>
            <w:vAlign w:val="center"/>
          </w:tcPr>
          <w:p>
            <w:pPr>
              <w:ind w:left="19" w:hanging="126" w:leftChars="-51" w:hangingChars="60"/>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100≤X＜300 </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10≤X＜100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2000≤Y＜10000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100≤Y＜2000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信息传输业 *</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X≥2000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100≤X＜2000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10≤X＜100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1000≤Y＜100000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100≤Y＜1000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w:t>
            </w:r>
          </w:p>
        </w:tc>
      </w:tr>
      <w:tr>
        <w:tblPrEx>
          <w:tblW w:w="8529" w:type="dxa"/>
          <w:tblInd w:w="0" w:type="dxa"/>
          <w:tblLayout w:type="fixed"/>
          <w:tblCellMar>
            <w:top w:w="0" w:type="dxa"/>
            <w:left w:w="108" w:type="dxa"/>
            <w:bottom w:w="0" w:type="dxa"/>
            <w:right w:w="108" w:type="dxa"/>
          </w:tblCellMar>
        </w:tblPrEx>
        <w:trPr>
          <w:trHeight w:hRule="exact" w:val="340"/>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spacing w:val="-12"/>
                <w:kern w:val="0"/>
                <w:sz w:val="18"/>
                <w:szCs w:val="18"/>
                <w:highlight w:val="none"/>
              </w:rPr>
            </w:pPr>
            <w:r>
              <w:rPr>
                <w:rFonts w:ascii="宋体" w:hAnsi="宋体" w:cs="宋体" w:hint="eastAsia"/>
                <w:color w:val="auto"/>
                <w:spacing w:val="-12"/>
                <w:kern w:val="0"/>
                <w:sz w:val="18"/>
                <w:szCs w:val="18"/>
                <w:highlight w:val="none"/>
              </w:rPr>
              <w:t>软件和信息技术服</w:t>
            </w:r>
            <w:r>
              <w:rPr>
                <w:rFonts w:ascii="宋体" w:hAnsi="宋体" w:cs="宋体" w:hint="eastAsia"/>
                <w:color w:val="auto"/>
                <w:kern w:val="0"/>
                <w:sz w:val="18"/>
                <w:szCs w:val="18"/>
                <w:highlight w:val="none"/>
              </w:rPr>
              <w:t>务业</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X≥300</w:t>
            </w:r>
          </w:p>
        </w:tc>
        <w:tc>
          <w:tcPr>
            <w:tcW w:w="1537" w:type="dxa"/>
            <w:tcBorders>
              <w:tl2br w:val="nil"/>
              <w:tr2bl w:val="nil"/>
            </w:tcBorders>
            <w:shd w:val="clear" w:color="auto" w:fill="auto"/>
            <w:vAlign w:val="center"/>
          </w:tcPr>
          <w:p>
            <w:pPr>
              <w:ind w:left="19" w:hanging="126" w:leftChars="-51" w:hangingChars="60"/>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100≤X＜300 </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10≤X＜100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w:t>
            </w:r>
          </w:p>
        </w:tc>
      </w:tr>
      <w:tr>
        <w:tblPrEx>
          <w:tblW w:w="8529" w:type="dxa"/>
          <w:tblInd w:w="0" w:type="dxa"/>
          <w:tblLayout w:type="fixed"/>
          <w:tblCellMar>
            <w:top w:w="0" w:type="dxa"/>
            <w:left w:w="108" w:type="dxa"/>
            <w:bottom w:w="0" w:type="dxa"/>
            <w:right w:w="108" w:type="dxa"/>
          </w:tblCellMar>
        </w:tblPrEx>
        <w:trPr>
          <w:trHeight w:hRule="exact" w:val="340"/>
        </w:trPr>
        <w:tc>
          <w:tcPr>
            <w:tcW w:w="1910" w:type="dxa"/>
            <w:vMerge/>
            <w:tcBorders>
              <w:tl2br w:val="nil"/>
              <w:tr2bl w:val="nil"/>
            </w:tcBorders>
            <w:vAlign w:val="center"/>
          </w:tcPr>
          <w:p>
            <w:pPr>
              <w:jc w:val="left"/>
              <w:rPr>
                <w:rFonts w:ascii="宋体" w:hAnsi="宋体" w:cs="宋体"/>
                <w:color w:val="auto"/>
                <w:spacing w:val="-12"/>
                <w:kern w:val="0"/>
                <w:sz w:val="18"/>
                <w:szCs w:val="18"/>
                <w:highlight w:val="none"/>
              </w:rPr>
            </w:pP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1000≤Y＜10000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50≤Y＜1000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Y＜50</w:t>
            </w:r>
          </w:p>
        </w:tc>
      </w:tr>
      <w:tr>
        <w:tblPrEx>
          <w:tblW w:w="8529" w:type="dxa"/>
          <w:tblInd w:w="0" w:type="dxa"/>
          <w:tblLayout w:type="fixed"/>
          <w:tblCellMar>
            <w:top w:w="0" w:type="dxa"/>
            <w:left w:w="108" w:type="dxa"/>
            <w:bottom w:w="0" w:type="dxa"/>
            <w:right w:w="108" w:type="dxa"/>
          </w:tblCellMar>
        </w:tblPrEx>
        <w:trPr>
          <w:trHeight w:hRule="exact" w:val="340"/>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房地产开发经营</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Y≥200000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1000≤Y＜200000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100≤Y＜1000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w:t>
            </w:r>
          </w:p>
        </w:tc>
      </w:tr>
      <w:tr>
        <w:tblPrEx>
          <w:tblW w:w="8529" w:type="dxa"/>
          <w:tblInd w:w="0" w:type="dxa"/>
          <w:tblLayout w:type="fixed"/>
          <w:tblCellMar>
            <w:top w:w="0" w:type="dxa"/>
            <w:left w:w="108" w:type="dxa"/>
            <w:bottom w:w="0" w:type="dxa"/>
            <w:right w:w="108" w:type="dxa"/>
          </w:tblCellMar>
        </w:tblPrEx>
        <w:trPr>
          <w:trHeight w:hRule="exact" w:val="340"/>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资产总额(Z)</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Z≥10000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5000≤Z＜10000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2000≤Z＜5000   </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Z＜2000</w:t>
            </w:r>
          </w:p>
        </w:tc>
      </w:tr>
      <w:tr>
        <w:tblPrEx>
          <w:tblW w:w="8529" w:type="dxa"/>
          <w:tblInd w:w="0" w:type="dxa"/>
          <w:tblLayout w:type="fixed"/>
          <w:tblCellMar>
            <w:top w:w="0" w:type="dxa"/>
            <w:left w:w="108" w:type="dxa"/>
            <w:bottom w:w="0" w:type="dxa"/>
            <w:right w:w="108" w:type="dxa"/>
          </w:tblCellMar>
        </w:tblPrEx>
        <w:trPr>
          <w:trHeight w:hRule="exact" w:val="340"/>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物业管理</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300≤X＜1000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100≤X＜300 </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X＜100</w:t>
            </w:r>
          </w:p>
        </w:tc>
      </w:tr>
      <w:tr>
        <w:tblPrEx>
          <w:tblW w:w="8529" w:type="dxa"/>
          <w:tblInd w:w="0" w:type="dxa"/>
          <w:tblLayout w:type="fixed"/>
          <w:tblCellMar>
            <w:top w:w="0" w:type="dxa"/>
            <w:left w:w="108" w:type="dxa"/>
            <w:bottom w:w="0" w:type="dxa"/>
            <w:right w:w="108" w:type="dxa"/>
          </w:tblCellMar>
        </w:tblPrEx>
        <w:trPr>
          <w:trHeight w:hRule="exact" w:val="340"/>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Y≥5000</w:t>
            </w:r>
          </w:p>
        </w:tc>
        <w:tc>
          <w:tcPr>
            <w:tcW w:w="1537" w:type="dxa"/>
            <w:tcBorders>
              <w:tl2br w:val="nil"/>
              <w:tr2bl w:val="nil"/>
            </w:tcBorders>
            <w:shd w:val="clear" w:color="auto" w:fill="auto"/>
            <w:vAlign w:val="center"/>
          </w:tcPr>
          <w:p>
            <w:pPr>
              <w:ind w:left="19" w:hanging="126" w:leftChars="-51" w:hangingChars="60"/>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1000≤Y＜5000 </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500≤Y＜1000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Y＜500</w:t>
            </w:r>
          </w:p>
        </w:tc>
      </w:tr>
      <w:tr>
        <w:tblPrEx>
          <w:tblW w:w="8529" w:type="dxa"/>
          <w:tblInd w:w="0" w:type="dxa"/>
          <w:tblLayout w:type="fixed"/>
          <w:tblCellMar>
            <w:top w:w="0" w:type="dxa"/>
            <w:left w:w="108" w:type="dxa"/>
            <w:bottom w:w="0" w:type="dxa"/>
            <w:right w:w="108" w:type="dxa"/>
          </w:tblCellMar>
        </w:tblPrEx>
        <w:trPr>
          <w:trHeight w:hRule="exact" w:val="340"/>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租赁和商务服务业</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X≥300</w:t>
            </w:r>
          </w:p>
        </w:tc>
        <w:tc>
          <w:tcPr>
            <w:tcW w:w="1537" w:type="dxa"/>
            <w:tcBorders>
              <w:tl2br w:val="nil"/>
              <w:tr2bl w:val="nil"/>
            </w:tcBorders>
            <w:shd w:val="clear" w:color="auto" w:fill="auto"/>
            <w:vAlign w:val="center"/>
          </w:tcPr>
          <w:p>
            <w:pPr>
              <w:ind w:left="19" w:hanging="126" w:leftChars="-51" w:hangingChars="60"/>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100≤X＜300 </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10≤X＜100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w:t>
            </w:r>
          </w:p>
        </w:tc>
      </w:tr>
      <w:tr>
        <w:tblPrEx>
          <w:tblW w:w="8529" w:type="dxa"/>
          <w:tblInd w:w="0" w:type="dxa"/>
          <w:tblLayout w:type="fixed"/>
          <w:tblCellMar>
            <w:top w:w="0" w:type="dxa"/>
            <w:left w:w="108" w:type="dxa"/>
            <w:bottom w:w="0" w:type="dxa"/>
            <w:right w:w="108" w:type="dxa"/>
          </w:tblCellMar>
        </w:tblPrEx>
        <w:trPr>
          <w:trHeight w:hRule="exact" w:val="340"/>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资产总额(Z)</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Z≥120000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8000≤Z＜120000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100≤Z＜8000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Z＜100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其他未列明行业 *</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X≥300</w:t>
            </w:r>
          </w:p>
        </w:tc>
        <w:tc>
          <w:tcPr>
            <w:tcW w:w="1537" w:type="dxa"/>
            <w:tcBorders>
              <w:tl2br w:val="nil"/>
              <w:tr2bl w:val="nil"/>
            </w:tcBorders>
            <w:shd w:val="clear" w:color="auto" w:fill="auto"/>
            <w:vAlign w:val="center"/>
          </w:tcPr>
          <w:p>
            <w:pPr>
              <w:ind w:left="19" w:hanging="126" w:leftChars="-51" w:hangingChars="60"/>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100≤X＜300 </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10≤X＜100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w:t>
            </w:r>
          </w:p>
        </w:tc>
      </w:tr>
    </w:tbl>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说明：</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1.大型、中型和小型企业须同时满足所列指标的下限，否则下划一档；微型企业只须满足所列指标中的一项即可。</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rPr>
          <w:color w:val="auto"/>
          <w:highlight w:val="none"/>
        </w:rPr>
      </w:pPr>
    </w:p>
    <w:p>
      <w:pPr>
        <w:rPr>
          <w:rFonts w:ascii="宋体" w:hAnsi="宋体" w:cs="宋体"/>
          <w:color w:val="auto"/>
          <w:szCs w:val="21"/>
          <w:highlight w:val="none"/>
        </w:rPr>
      </w:pPr>
      <w:r>
        <w:rPr>
          <w:rFonts w:ascii="宋体" w:hAnsi="宋体" w:cs="宋体" w:hint="eastAsia"/>
          <w:color w:val="auto"/>
          <w:szCs w:val="21"/>
          <w:highlight w:val="none"/>
        </w:rPr>
        <w:br w:type="page"/>
      </w:r>
    </w:p>
    <w:p>
      <w:pPr>
        <w:pStyle w:val="NormalWeb"/>
        <w:spacing w:line="440" w:lineRule="exact"/>
        <w:rPr>
          <w:rFonts w:ascii="宋体" w:hAnsi="宋体" w:cs="宋体"/>
          <w:color w:val="auto"/>
          <w:sz w:val="21"/>
          <w:szCs w:val="21"/>
          <w:highlight w:val="none"/>
        </w:rPr>
      </w:pPr>
      <w:r>
        <w:rPr>
          <w:rFonts w:ascii="宋体" w:hAnsi="宋体" w:cs="宋体" w:hint="eastAsia"/>
          <w:color w:val="auto"/>
          <w:sz w:val="21"/>
          <w:szCs w:val="21"/>
          <w:highlight w:val="none"/>
        </w:rPr>
        <w:t>附件</w:t>
      </w:r>
    </w:p>
    <w:p>
      <w:pPr>
        <w:pStyle w:val="NormalWeb"/>
        <w:spacing w:line="440" w:lineRule="exact"/>
        <w:ind w:firstLine="420" w:firstLineChars="200"/>
        <w:jc w:val="center"/>
        <w:rPr>
          <w:rFonts w:ascii="宋体" w:hAnsi="宋体" w:cs="宋体"/>
          <w:b/>
          <w:bCs/>
          <w:color w:val="auto"/>
          <w:highlight w:val="none"/>
        </w:rPr>
      </w:pPr>
      <w:r>
        <w:rPr>
          <w:rFonts w:ascii="宋体" w:hAnsi="宋体" w:cs="宋体" w:hint="eastAsia"/>
          <w:b/>
          <w:bCs/>
          <w:color w:val="auto"/>
          <w:highlight w:val="none"/>
        </w:rPr>
        <w:t>《统计上大中小微型企业划分办法（2017）》修订说明</w:t>
      </w:r>
    </w:p>
    <w:p>
      <w:pPr>
        <w:pStyle w:val="NormalWeb"/>
        <w:spacing w:line="440" w:lineRule="exact"/>
        <w:ind w:firstLine="420" w:firstLineChars="200"/>
        <w:rPr>
          <w:rFonts w:ascii="宋体" w:hAnsi="宋体" w:cs="宋体"/>
          <w:color w:val="auto"/>
          <w:sz w:val="21"/>
          <w:szCs w:val="21"/>
          <w:highlight w:val="none"/>
        </w:rPr>
      </w:pPr>
    </w:p>
    <w:p>
      <w:pPr>
        <w:pStyle w:val="NormalWeb"/>
        <w:spacing w:line="440" w:lineRule="exact"/>
        <w:ind w:firstLine="420" w:firstLineChars="200"/>
        <w:rPr>
          <w:rFonts w:ascii="宋体" w:hAnsi="宋体" w:cs="宋体"/>
          <w:b/>
          <w:bCs/>
          <w:color w:val="auto"/>
          <w:sz w:val="21"/>
          <w:szCs w:val="21"/>
          <w:highlight w:val="none"/>
        </w:rPr>
      </w:pPr>
      <w:r>
        <w:rPr>
          <w:rFonts w:ascii="宋体" w:hAnsi="宋体" w:cs="宋体" w:hint="eastAsia"/>
          <w:b/>
          <w:bCs/>
          <w:color w:val="auto"/>
          <w:sz w:val="21"/>
          <w:szCs w:val="21"/>
          <w:highlight w:val="none"/>
        </w:rPr>
        <w:t>一、修订背景</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pStyle w:val="NormalWeb"/>
        <w:spacing w:line="440" w:lineRule="exact"/>
        <w:ind w:firstLine="420" w:firstLineChars="200"/>
        <w:rPr>
          <w:rFonts w:ascii="宋体" w:hAnsi="宋体" w:cs="宋体"/>
          <w:b/>
          <w:bCs/>
          <w:color w:val="auto"/>
          <w:sz w:val="21"/>
          <w:szCs w:val="21"/>
          <w:highlight w:val="none"/>
        </w:rPr>
      </w:pPr>
      <w:r>
        <w:rPr>
          <w:rFonts w:ascii="宋体" w:hAnsi="宋体" w:cs="宋体" w:hint="eastAsia"/>
          <w:b/>
          <w:bCs/>
          <w:color w:val="auto"/>
          <w:sz w:val="21"/>
          <w:szCs w:val="21"/>
          <w:highlight w:val="none"/>
        </w:rPr>
        <w:t>二、修订主要内容</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将交通运输业中包括的“装卸搬运和运输代理业”修改为“多式联运和运输代理业、装卸搬运”。</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仓储业所包括的行业中类，根据《国民经济行业分类》（GB/T 4754—2017）调整为“通用仓储，低温仓储，危险品仓储，谷物、棉花等农产品仓储，中药材仓储和其他仓储业”。</w:t>
      </w:r>
    </w:p>
    <w:p>
      <w:pPr>
        <w:rPr>
          <w:rFonts w:ascii="宋体" w:hAnsi="宋体" w:cs="宋体"/>
          <w:color w:val="auto"/>
          <w:szCs w:val="21"/>
          <w:highlight w:val="none"/>
        </w:rPr>
      </w:pPr>
      <w:r>
        <w:rPr>
          <w:rFonts w:ascii="宋体" w:hAnsi="宋体" w:cs="宋体" w:hint="eastAsia"/>
          <w:color w:val="auto"/>
          <w:szCs w:val="21"/>
          <w:highlight w:val="none"/>
        </w:rPr>
        <w:br w:type="page"/>
      </w:r>
    </w:p>
    <w:p>
      <w:pPr>
        <w:pStyle w:val="NormalWeb"/>
        <w:spacing w:line="440" w:lineRule="exact"/>
        <w:jc w:val="center"/>
        <w:rPr>
          <w:rFonts w:ascii="宋体" w:eastAsia="宋体" w:hAnsi="宋体" w:cs="宋体" w:hint="eastAsia"/>
          <w:b/>
          <w:bCs/>
          <w:color w:val="auto"/>
          <w:sz w:val="28"/>
          <w:szCs w:val="28"/>
          <w:highlight w:val="none"/>
          <w:lang w:eastAsia="zh-CN"/>
        </w:rPr>
      </w:pPr>
      <w:r>
        <w:rPr>
          <w:rFonts w:ascii="宋体" w:hAnsi="宋体" w:cs="宋体" w:hint="eastAsia"/>
          <w:b/>
          <w:bCs/>
          <w:color w:val="auto"/>
          <w:sz w:val="28"/>
          <w:szCs w:val="28"/>
          <w:highlight w:val="none"/>
        </w:rPr>
        <w:t>关于促进残疾人就业政府采购政策的通知</w:t>
      </w:r>
    </w:p>
    <w:p>
      <w:pPr>
        <w:pStyle w:val="NormalWeb"/>
        <w:spacing w:line="440" w:lineRule="exact"/>
        <w:jc w:val="center"/>
        <w:rPr>
          <w:rFonts w:ascii="宋体" w:hAnsi="宋体" w:cs="宋体"/>
          <w:color w:val="auto"/>
          <w:sz w:val="21"/>
          <w:szCs w:val="21"/>
          <w:highlight w:val="none"/>
        </w:rPr>
      </w:pPr>
      <w:r>
        <w:rPr>
          <w:rFonts w:ascii="宋体" w:hAnsi="宋体" w:cs="宋体" w:hint="eastAsia"/>
          <w:color w:val="auto"/>
          <w:sz w:val="21"/>
          <w:szCs w:val="21"/>
          <w:highlight w:val="none"/>
        </w:rPr>
        <w:t>财库〔2017〕141号</w:t>
      </w:r>
    </w:p>
    <w:p>
      <w:pPr>
        <w:pStyle w:val="NormalWeb"/>
        <w:spacing w:line="440" w:lineRule="exact"/>
        <w:ind w:firstLine="420" w:firstLineChars="200"/>
        <w:rPr>
          <w:rFonts w:ascii="宋体" w:hAnsi="宋体" w:cs="宋体"/>
          <w:color w:val="auto"/>
          <w:sz w:val="21"/>
          <w:szCs w:val="21"/>
          <w:highlight w:val="none"/>
        </w:rPr>
      </w:pPr>
    </w:p>
    <w:p>
      <w:pPr>
        <w:pStyle w:val="NormalWeb"/>
        <w:spacing w:line="440" w:lineRule="exact"/>
        <w:rPr>
          <w:rFonts w:ascii="宋体" w:hAnsi="宋体" w:cs="宋体"/>
          <w:color w:val="auto"/>
          <w:sz w:val="21"/>
          <w:szCs w:val="21"/>
          <w:highlight w:val="none"/>
        </w:rPr>
      </w:pPr>
      <w:r>
        <w:rPr>
          <w:rFonts w:ascii="宋体" w:hAnsi="宋体" w:cs="宋体" w:hint="eastAsia"/>
          <w:color w:val="auto"/>
          <w:sz w:val="21"/>
          <w:szCs w:val="21"/>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为了发挥政府采购促进残疾人就业的作用，进一步保障残疾人权益，依照《政府采购法》、《残疾人保障法》等法律法规及相关规定，现就促进残疾人就业政府采购政策通知如下：</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一、享受政府采购支持政策的残疾人福利性单位应当同时满足以下条件：</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（一）安置的残疾人占本单位在职职工人数的比例不低于25%（含25%），并且安置的残疾人人数不少于10人（含10人）；</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（二）依法与安置的每位残疾人签订了一年以上（含一年）的劳动合同或服务协议；</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（三）为安置的每位残疾人按月足额缴纳了基本养老保险、基本医疗保险、失业保险、工伤保险和生育保险等社会保险费；</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（四）通过银行等金融机构向安置的每位残疾人，按月支付了不低于单位所在区县适用的经省级人民政府批准的月最低工资标准的工资；</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中标、成交供应商为残疾人福利性单位的，采购人或者其委托的采购代理机构应当随中标、成交结果同时公告其《残疾人福利性单位声明函》，接受社会监督。</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供应商提供的《残疾人福利性单位声明函》与事实不符的，依照《政府采购法》第七十七条第一款的规定追究法律责任。</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四、采购人采购公开招标数额标准以上的货物或者服务，因落实促进残疾人就业政策的需要，依法履行有关报批程序后，可采用公开招标以外的采购方式。</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七、本通知自2017年10月1日起执行。</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附件：</w:t>
      </w:r>
      <w:r>
        <w:rPr>
          <w:color w:val="auto"/>
          <w:highlight w:val="none"/>
        </w:rPr>
        <w:fldChar w:fldCharType="begin"/>
      </w:r>
      <w:r>
        <w:rPr>
          <w:color w:val="auto"/>
          <w:highlight w:val="none"/>
        </w:rPr>
        <w:instrText xml:space="preserve"> HYPERLINK "http://www.gov.cn/xinwen/2017-09/02/5222181/files/f1ba446ff1d041aab7b557a51912d058.docx" \t "http://www.gov.cn/xinwen/2017-09/02/_blank" </w:instrText>
      </w:r>
      <w:r>
        <w:rPr>
          <w:color w:val="auto"/>
          <w:highlight w:val="none"/>
        </w:rPr>
        <w:fldChar w:fldCharType="separate"/>
      </w:r>
      <w:r>
        <w:rPr>
          <w:rFonts w:ascii="宋体" w:hAnsi="宋体" w:cs="宋体" w:hint="eastAsia"/>
          <w:color w:val="auto"/>
          <w:sz w:val="21"/>
          <w:szCs w:val="21"/>
          <w:highlight w:val="none"/>
        </w:rPr>
        <w:t>残疾人福利性单位声明函</w:t>
      </w:r>
      <w:r>
        <w:rPr>
          <w:rFonts w:ascii="宋体" w:hAnsi="宋体" w:cs="宋体" w:hint="eastAsia"/>
          <w:color w:val="auto"/>
          <w:sz w:val="21"/>
          <w:szCs w:val="21"/>
          <w:highlight w:val="none"/>
        </w:rPr>
        <w:fldChar w:fldCharType="end"/>
      </w:r>
    </w:p>
    <w:p>
      <w:pPr>
        <w:pStyle w:val="NormalWeb"/>
        <w:spacing w:line="440" w:lineRule="exact"/>
        <w:ind w:firstLine="420" w:firstLineChars="200"/>
        <w:rPr>
          <w:rFonts w:ascii="宋体" w:hAnsi="宋体" w:cs="宋体"/>
          <w:color w:val="auto"/>
          <w:sz w:val="21"/>
          <w:szCs w:val="21"/>
          <w:highlight w:val="none"/>
        </w:rPr>
      </w:pPr>
    </w:p>
    <w:p>
      <w:pPr>
        <w:pStyle w:val="NormalWeb"/>
        <w:spacing w:line="440" w:lineRule="exact"/>
        <w:ind w:firstLine="420" w:firstLineChars="200"/>
        <w:jc w:val="right"/>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财政部 民政部 中国残疾人联合会</w:t>
      </w:r>
    </w:p>
    <w:p>
      <w:pPr>
        <w:pStyle w:val="NormalWeb"/>
        <w:spacing w:line="440" w:lineRule="exact"/>
        <w:ind w:firstLine="420" w:firstLineChars="200"/>
        <w:jc w:val="right"/>
        <w:rPr>
          <w:rFonts w:ascii="宋体" w:hAnsi="宋体" w:cs="宋体"/>
          <w:color w:val="auto"/>
          <w:sz w:val="21"/>
          <w:szCs w:val="21"/>
          <w:highlight w:val="none"/>
        </w:rPr>
      </w:pPr>
      <w:r>
        <w:rPr>
          <w:rFonts w:ascii="宋体" w:hAnsi="宋体" w:cs="宋体" w:hint="eastAsia"/>
          <w:color w:val="auto"/>
          <w:sz w:val="21"/>
          <w:szCs w:val="21"/>
          <w:highlight w:val="none"/>
        </w:rPr>
        <w:t>2017年8月22日</w:t>
      </w:r>
    </w:p>
    <w:p>
      <w:pPr>
        <w:pStyle w:val="NormalWeb"/>
        <w:spacing w:line="440" w:lineRule="exact"/>
        <w:ind w:firstLine="420" w:firstLineChars="200"/>
        <w:rPr>
          <w:rFonts w:ascii="宋体" w:hAnsi="宋体" w:cs="宋体"/>
          <w:color w:val="auto"/>
          <w:sz w:val="21"/>
          <w:szCs w:val="21"/>
          <w:highlight w:val="none"/>
        </w:rPr>
      </w:pPr>
    </w:p>
    <w:p>
      <w:pPr>
        <w:pStyle w:val="NormalWeb"/>
        <w:spacing w:line="440" w:lineRule="exact"/>
        <w:ind w:firstLine="420" w:firstLineChars="200"/>
        <w:rPr>
          <w:rFonts w:ascii="宋体" w:hAnsi="宋体" w:cs="宋体"/>
          <w:color w:val="auto"/>
          <w:sz w:val="21"/>
          <w:szCs w:val="21"/>
          <w:highlight w:val="none"/>
        </w:rPr>
      </w:pPr>
    </w:p>
    <w:p>
      <w:pPr>
        <w:spacing w:line="360" w:lineRule="exact"/>
        <w:rPr>
          <w:rFonts w:ascii="宋体" w:hAnsi="宋体"/>
          <w:bCs/>
          <w:color w:val="auto"/>
          <w:szCs w:val="21"/>
          <w:highlight w:val="none"/>
        </w:rPr>
      </w:pPr>
    </w:p>
    <w:p>
      <w:pPr>
        <w:spacing w:line="360" w:lineRule="exact"/>
        <w:rPr>
          <w:rFonts w:ascii="宋体" w:hAnsi="宋体"/>
          <w:bCs/>
          <w:color w:val="auto"/>
          <w:szCs w:val="21"/>
          <w:highlight w:val="none"/>
        </w:rPr>
      </w:pPr>
    </w:p>
    <w:p>
      <w:pPr>
        <w:spacing w:line="440" w:lineRule="exact"/>
        <w:rPr>
          <w:rFonts w:asciiTheme="majorEastAsia" w:eastAsiaTheme="majorEastAsia" w:hAnsiTheme="majorEastAsia" w:cstheme="majorEastAsia"/>
          <w:color w:val="auto"/>
          <w:szCs w:val="21"/>
          <w:highlight w:val="none"/>
        </w:rPr>
      </w:pPr>
    </w:p>
    <w:p>
      <w:pPr>
        <w:spacing w:line="440" w:lineRule="exact"/>
        <w:ind w:firstLine="420"/>
        <w:rPr>
          <w:rFonts w:asciiTheme="majorEastAsia" w:eastAsiaTheme="majorEastAsia" w:hAnsiTheme="majorEastAsia" w:cstheme="majorEastAsia"/>
          <w:color w:val="auto"/>
          <w:szCs w:val="21"/>
          <w:highlight w:val="none"/>
        </w:rPr>
      </w:pPr>
    </w:p>
    <w:sectPr>
      <w:footerReference w:type="default" r:id="rId12"/>
      <w:footerReference w:type="first" r:id="rId13"/>
      <w:pgSz w:w="11907" w:h="16840"/>
      <w:pgMar w:top="1440" w:right="1797" w:bottom="1440" w:left="1797" w:header="851" w:footer="992" w:gutter="0"/>
      <w:pgNumType w:start="1"/>
      <w:cols w:num="1" w:space="425"/>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pict>
        <v:shapetype id="_x0000_t202" coordsize="21600,21600" o:spt="202" path="m,l,21600r21600,l21600,xe">
          <v:stroke joinstyle="miter"/>
          <v:path gradientshapeok="t" o:connecttype="rect"/>
        </v:shapetype>
        <v:shape id="文本框 1026" o:spid="_x0000_s2050" type="#_x0000_t202" style="height:2in;margin-left:0;margin-top:0;mso-height-relative:page;mso-position-horizontal:center;mso-position-horizontal-relative:margin;mso-width-relative:page;mso-wrap-style:none;position:absolute;width:2in;z-index:251658240" coordsize="21600,21600" filled="f" stroked="f">
          <o:lock v:ext="edit" aspectratio="f"/>
          <v:textbox style="mso-fit-shape-to-text:t" inset="0,0,0,0">
            <w:txbxContent>
              <w:p>
                <w:pPr>
                  <w:pStyle w:val="Foote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  \* MERGEFORMAT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rPr>
                  <w:t>66</w:t>
                </w:r>
                <w:r>
                  <w:rPr>
                    <w:rFonts w:asciiTheme="minorEastAsia" w:eastAsiaTheme="minorEastAsia" w:hAnsiTheme="minorEastAsia" w:cstheme="minorEastAsia" w:hint="eastAsia"/>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pict>
        <v:shapetype id="_x0000_t202" coordsize="21600,21600" o:spt="202" path="m,l,21600r21600,l21600,xe">
          <v:stroke joinstyle="miter"/>
          <v:path gradientshapeok="t" o:connecttype="rect"/>
        </v:shapetype>
        <v:shape id="文本框 1025" o:spid="_x0000_s2049" type="#_x0000_t202" style="height:2in;margin-left:0;margin-top:0;mso-height-relative:page;mso-position-horizontal:center;mso-position-horizontal-relative:margin;mso-width-relative:page;mso-wrap-style:none;position:absolute;width:2in;z-index:251659264" coordsize="21600,21600" filled="f" stroked="f">
          <o:lock v:ext="edit" aspectratio="f"/>
          <v:textbox style="mso-fit-shape-to-text:t" inset="0,0,0,0">
            <w:txbxContent>
              <w:p>
                <w:pPr>
                  <w:pStyle w:val="Footer"/>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v:textbox>
          <w10:wrap anchorx="margin"/>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left"/>
    </w:pPr>
    <w:r>
      <w:rPr>
        <w:rFonts w:hint="eastAsia"/>
      </w:rPr>
      <w:t>国内公开招标文件（政府采购）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9EAB6E1"/>
    <w:multiLevelType w:val="singleLevel"/>
    <w:tmpl w:val="F9EAB6E1"/>
    <w:lvl w:ilvl="0">
      <w:start w:val="2"/>
      <w:numFmt w:val="chineseCounting"/>
      <w:suff w:val="nothing"/>
      <w:lvlText w:val="%1、"/>
      <w:lvlJc w:val="left"/>
      <w:rPr>
        <w:rFonts w:hint="eastAsia"/>
      </w:rPr>
    </w:lvl>
  </w:abstractNum>
  <w:abstractNum w:abstractNumId="1">
    <w:nsid w:val="FFFFFF7C"/>
    <w:multiLevelType w:val="singleLevel"/>
    <w:tmpl w:val="FFFFFF7C"/>
    <w:lvl w:ilvl="0">
      <w:start w:val="1"/>
      <w:numFmt w:val="decimal"/>
      <w:pStyle w:val="41"/>
      <w:lvlText w:val="%1."/>
      <w:lvlJc w:val="left"/>
      <w:pPr>
        <w:tabs>
          <w:tab w:val="left" w:pos="2040"/>
        </w:tabs>
        <w:ind w:left="2040" w:hanging="360" w:leftChars="800" w:hangingChars="200"/>
      </w:pPr>
    </w:lvl>
  </w:abstractNum>
  <w:abstractNum w:abstractNumId="2">
    <w:nsid w:val="FFFFFF89"/>
    <w:multiLevelType w:val="singleLevel"/>
    <w:tmpl w:val="FFFFFF89"/>
    <w:lvl w:ilvl="0">
      <w:start w:val="1"/>
      <w:numFmt w:val="bullet"/>
      <w:pStyle w:val="ListBullet"/>
      <w:lvlText w:val=""/>
      <w:lvlJc w:val="left"/>
      <w:pPr>
        <w:tabs>
          <w:tab w:val="left" w:pos="360"/>
        </w:tabs>
        <w:ind w:left="360" w:hanging="360" w:hangingChars="200"/>
      </w:pPr>
      <w:rPr>
        <w:rFonts w:ascii="Wingdings" w:hAnsi="Wingdings" w:hint="default"/>
      </w:rPr>
    </w:lvl>
  </w:abstractNum>
  <w:abstractNum w:abstractNumId="3">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2503483"/>
    <w:multiLevelType w:val="multilevel"/>
    <w:tmpl w:val="12503483"/>
    <w:lvl w:ilvl="0">
      <w:start w:val="1"/>
      <w:numFmt w:val="bullet"/>
      <w:pStyle w:val="a6"/>
      <w:lvlText w:val=""/>
      <w:lvlJc w:val="left"/>
      <w:pPr>
        <w:tabs>
          <w:tab w:val="left" w:pos="420"/>
        </w:tabs>
        <w:ind w:left="420" w:hanging="420"/>
      </w:pPr>
      <w:rPr>
        <w:rFonts w:ascii="Wingdings" w:hAnsi="Wingdings" w:hint="default"/>
      </w:rPr>
    </w:lvl>
    <w:lvl w:ilvl="1">
      <w:start w:val="1"/>
      <w:numFmt w:val="bullet"/>
      <w:pStyle w:val="a5"/>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4"/>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2F395B7B"/>
    <w:multiLevelType w:val="multilevel"/>
    <w:tmpl w:val="2F395B7B"/>
    <w:lvl w:ilvl="0">
      <w:start w:val="1"/>
      <w:numFmt w:val="bullet"/>
      <w:pStyle w:val="1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5"/>
  </w:num>
  <w:num w:numId="4">
    <w:abstractNumId w:val="4"/>
  </w:num>
  <w:num w:numId="5">
    <w:abstractNumId w:val="7"/>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1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4NTBhMGY3NzllNzQyZmQ3Y2YxNTE3NDA2YjQ1NDg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unhideWhenUsed="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unhideWhenUsed="0" w:qFormat="1"/>
    <w:lsdException w:name="toc 2" w:uiPriority="0" w:unhideWhenUsed="0" w:qFormat="1"/>
    <w:lsdException w:name="toc 3" w:uiPriority="0" w:unhideWhenUsed="0" w:qFormat="1"/>
    <w:lsdException w:name="toc 4" w:uiPriority="0" w:unhideWhenUsed="0" w:qFormat="1"/>
    <w:lsdException w:name="toc 5" w:uiPriority="0" w:unhideWhenUsed="0" w:qFormat="1"/>
    <w:lsdException w:name="toc 6" w:uiPriority="0" w:unhideWhenUsed="0" w:qFormat="1"/>
    <w:lsdException w:name="toc 7" w:uiPriority="0" w:unhideWhenUsed="0" w:qFormat="1"/>
    <w:lsdException w:name="toc 8" w:uiPriority="0" w:unhideWhenUsed="0" w:qFormat="1"/>
    <w:lsdException w:name="toc 9" w:uiPriority="0" w:unhideWhenUsed="0" w:qFormat="1"/>
    <w:lsdException w:name="Normal Indent" w:semiHidden="0" w:uiPriority="0" w:unhideWhenUsed="0" w:qFormat="1"/>
    <w:lsdException w:name="footnote text" w:uiPriority="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uiPriority="0"/>
    <w:lsdException w:name="annotation reference" w:semiHidden="0" w:uiPriority="0" w:unhideWhenUsed="0" w:qFormat="1"/>
    <w:lsdException w:name="line number" w:uiPriority="0"/>
    <w:lsdException w:name="page number" w:semiHidden="0" w:uiPriority="0" w:unhideWhenUsed="0" w:qFormat="1"/>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semiHidden="0" w:uiPriority="0" w:unhideWhenUsed="0" w:qFormat="1"/>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qFormat="1"/>
    <w:lsdException w:name="Body Text" w:semiHidden="0" w:uiPriority="0" w:unhideWhenUsed="0" w:qFormat="1"/>
    <w:lsdException w:name="Body Text Indent" w:semiHidden="0" w:uiPriority="0" w:unhideWhenUsed="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semiHidden="0" w:uiPriority="0" w:unhideWhenUsed="0"/>
    <w:lsdException w:name="Date" w:semiHidden="0" w:uiPriority="0" w:unhideWhenUsed="0" w:qFormat="1"/>
    <w:lsdException w:name="Body Text First Indent" w:semiHidden="0" w:uiPriority="0" w:unhideWhenUsed="0" w:qFormat="1"/>
    <w:lsdException w:name="Body Text First Indent 2" w:uiPriority="0"/>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uiPriority="0"/>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uiPriority="0" w:unhideWhenUsed="0" w:qFormat="1"/>
    <w:lsdException w:name="Plain Text" w:semiHidden="0" w:uiPriority="0" w:unhideWhenUsed="0" w:qFormat="1"/>
    <w:lsdException w:name="E-mail Signature" w:uiPriority="0"/>
    <w:lsdException w:name="Normal (Web)" w:semiHidden="0" w:unhideWhenUsed="0" w:qFormat="1"/>
    <w:lsdException w:name="HTML Acronym" w:uiPriority="0" w:qFormat="1"/>
    <w:lsdException w:name="HTML Address" w:uiPriority="0"/>
    <w:lsdException w:name="HTML Cite" w:uiPriority="0" w:qFormat="1"/>
    <w:lsdException w:name="HTML Code" w:uiPriority="0" w:qFormat="1"/>
    <w:lsdException w:name="HTML Definition" w:uiPriority="0" w:qFormat="1"/>
    <w:lsdException w:name="HTML Keyboard" w:uiPriority="0" w:qFormat="1"/>
    <w:lsdException w:name="HTML Preformatted" w:semiHidden="0" w:uiPriority="0" w:unhideWhenUsed="0" w:qFormat="1"/>
    <w:lsdException w:name="HTML Sample" w:uiPriority="0" w:qFormat="1"/>
    <w:lsdException w:name="HTML Typewriter" w:uiPriority="0" w:qFormat="1"/>
    <w:lsdException w:name="HTML Variable" w:uiPriority="0" w:qFormat="1"/>
    <w:lsdException w:name="Normal Table" w:qFormat="1"/>
    <w:lsdException w:name="annotation subject" w:semiHidden="0"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unhideWhenUsed="0" w:qFormat="1"/>
    <w:lsdException w:name="Table Grid" w:semiHidden="0" w:uiPriority="59"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2"/>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Heading3"/>
    <w:next w:val="Normal"/>
    <w:link w:val="1Char"/>
    <w:qFormat/>
    <w:pPr>
      <w:spacing w:before="0" w:after="0"/>
      <w:jc w:val="center"/>
      <w:outlineLvl w:val="0"/>
    </w:pPr>
    <w:rPr>
      <w:rFonts w:ascii="黑体" w:eastAsia="黑体" w:hAnsi="黑体"/>
      <w:b w:val="0"/>
      <w:kern w:val="44"/>
      <w:sz w:val="36"/>
      <w:szCs w:val="36"/>
    </w:rPr>
  </w:style>
  <w:style w:type="paragraph" w:styleId="Heading2">
    <w:name w:val="heading 2"/>
    <w:basedOn w:val="Normal"/>
    <w:next w:val="Normal"/>
    <w:link w:val="2Char"/>
    <w:qFormat/>
    <w:pPr>
      <w:adjustRightInd w:val="0"/>
      <w:jc w:val="center"/>
      <w:textAlignment w:val="baseline"/>
      <w:outlineLvl w:val="1"/>
    </w:pPr>
    <w:rPr>
      <w:kern w:val="0"/>
      <w:sz w:val="24"/>
      <w:szCs w:val="20"/>
    </w:rPr>
  </w:style>
  <w:style w:type="paragraph" w:styleId="Heading3">
    <w:name w:val="heading 3"/>
    <w:basedOn w:val="Heading4"/>
    <w:next w:val="Normal"/>
    <w:link w:val="3Char1"/>
    <w:qFormat/>
    <w:pPr>
      <w:spacing w:before="260" w:after="260" w:line="240" w:lineRule="auto"/>
      <w:outlineLvl w:val="2"/>
    </w:pPr>
    <w:rPr>
      <w:rFonts w:ascii="宋体" w:eastAsia="宋体" w:hAnsi="宋体"/>
      <w:szCs w:val="32"/>
    </w:rPr>
  </w:style>
  <w:style w:type="paragraph" w:styleId="Heading4">
    <w:name w:val="heading 4"/>
    <w:basedOn w:val="Normal"/>
    <w:next w:val="Normal"/>
    <w:link w:val="4Char"/>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Indent"/>
    <w:link w:val="5Char"/>
    <w:qFormat/>
    <w:pPr>
      <w:keepNext/>
      <w:keepLines/>
      <w:spacing w:before="280" w:after="290" w:line="376" w:lineRule="auto"/>
      <w:outlineLvl w:val="4"/>
    </w:pPr>
    <w:rPr>
      <w:b/>
      <w:sz w:val="28"/>
      <w:szCs w:val="20"/>
    </w:rPr>
  </w:style>
  <w:style w:type="paragraph" w:styleId="Heading6">
    <w:name w:val="heading 6"/>
    <w:basedOn w:val="Normal"/>
    <w:next w:val="NormalIndent"/>
    <w:link w:val="6Char"/>
    <w:qFormat/>
    <w:pPr>
      <w:keepNext/>
      <w:keepLines/>
      <w:spacing w:before="240" w:after="64" w:line="320" w:lineRule="auto"/>
      <w:outlineLvl w:val="5"/>
    </w:pPr>
    <w:rPr>
      <w:rFonts w:ascii="Arial" w:eastAsia="黑体" w:hAnsi="Arial"/>
      <w:b/>
      <w:sz w:val="24"/>
      <w:szCs w:val="20"/>
    </w:rPr>
  </w:style>
  <w:style w:type="paragraph" w:styleId="Heading7">
    <w:name w:val="heading 7"/>
    <w:basedOn w:val="Normal"/>
    <w:next w:val="NormalIndent"/>
    <w:link w:val="7Char"/>
    <w:qFormat/>
    <w:pPr>
      <w:keepNext/>
      <w:keepLines/>
      <w:spacing w:before="240" w:after="64" w:line="320" w:lineRule="auto"/>
      <w:outlineLvl w:val="6"/>
    </w:pPr>
    <w:rPr>
      <w:b/>
      <w:sz w:val="24"/>
      <w:szCs w:val="20"/>
    </w:rPr>
  </w:style>
  <w:style w:type="paragraph" w:styleId="Heading8">
    <w:name w:val="heading 8"/>
    <w:basedOn w:val="Normal"/>
    <w:next w:val="NormalIndent"/>
    <w:link w:val="8Char"/>
    <w:qFormat/>
    <w:pPr>
      <w:keepNext/>
      <w:keepLines/>
      <w:spacing w:before="240" w:after="64" w:line="320" w:lineRule="auto"/>
      <w:outlineLvl w:val="7"/>
    </w:pPr>
    <w:rPr>
      <w:rFonts w:ascii="Arial" w:eastAsia="黑体" w:hAnsi="Arial"/>
      <w:sz w:val="24"/>
      <w:szCs w:val="20"/>
    </w:rPr>
  </w:style>
  <w:style w:type="paragraph" w:styleId="Heading9">
    <w:name w:val="heading 9"/>
    <w:basedOn w:val="Normal"/>
    <w:next w:val="NormalIndent"/>
    <w:link w:val="9Char"/>
    <w:qFormat/>
    <w:pPr>
      <w:keepNext/>
      <w:keepLines/>
      <w:spacing w:before="240" w:after="64" w:line="320" w:lineRule="auto"/>
      <w:outlineLvl w:val="8"/>
    </w:pPr>
    <w:rPr>
      <w:rFonts w:ascii="Arial" w:eastAsia="黑体" w:hAnsi="Arial"/>
      <w:szCs w:val="20"/>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NormalIndent">
    <w:name w:val="Normal Indent"/>
    <w:basedOn w:val="Normal"/>
    <w:next w:val="Normal"/>
    <w:link w:val="Char0"/>
    <w:qFormat/>
    <w:pPr>
      <w:ind w:firstLine="420"/>
    </w:pPr>
    <w:rPr>
      <w:szCs w:val="20"/>
    </w:rPr>
  </w:style>
  <w:style w:type="paragraph" w:styleId="TOC7">
    <w:name w:val="toc 7"/>
    <w:basedOn w:val="Normal"/>
    <w:next w:val="Normal"/>
    <w:semiHidden/>
    <w:qFormat/>
    <w:pPr>
      <w:ind w:left="1260"/>
      <w:jc w:val="left"/>
    </w:pPr>
    <w:rPr>
      <w:szCs w:val="21"/>
    </w:rPr>
  </w:style>
  <w:style w:type="paragraph" w:styleId="Caption">
    <w:name w:val="caption"/>
    <w:basedOn w:val="Normal"/>
    <w:next w:val="Normal"/>
    <w:qFormat/>
    <w:pPr>
      <w:widowControl/>
      <w:spacing w:line="360" w:lineRule="auto"/>
      <w:ind w:firstLine="1940" w:firstLineChars="920"/>
      <w:jc w:val="left"/>
    </w:pPr>
    <w:rPr>
      <w:rFonts w:ascii="宋体" w:hAnsi="宋体"/>
      <w:b/>
      <w:bCs/>
      <w:kern w:val="0"/>
      <w:sz w:val="20"/>
      <w:szCs w:val="20"/>
    </w:rPr>
  </w:style>
  <w:style w:type="paragraph" w:styleId="ListBullet">
    <w:name w:val="List Bullet"/>
    <w:basedOn w:val="Normal"/>
    <w:qFormat/>
    <w:pPr>
      <w:numPr>
        <w:ilvl w:val="0"/>
        <w:numId w:val="1"/>
      </w:numPr>
    </w:pPr>
    <w:rPr>
      <w:szCs w:val="20"/>
    </w:rPr>
  </w:style>
  <w:style w:type="paragraph" w:styleId="DocumentMap">
    <w:name w:val="Document Map"/>
    <w:basedOn w:val="Normal"/>
    <w:semiHidden/>
    <w:qFormat/>
    <w:pPr>
      <w:shd w:val="clear" w:color="auto" w:fill="000080"/>
    </w:pPr>
  </w:style>
  <w:style w:type="paragraph" w:styleId="CommentText">
    <w:name w:val="annotation text"/>
    <w:basedOn w:val="Normal"/>
    <w:link w:val="Char16"/>
    <w:qFormat/>
    <w:pPr>
      <w:autoSpaceDE w:val="0"/>
      <w:autoSpaceDN w:val="0"/>
      <w:adjustRightInd w:val="0"/>
      <w:jc w:val="left"/>
      <w:textAlignment w:val="baseline"/>
    </w:pPr>
    <w:rPr>
      <w:rFonts w:ascii="宋体"/>
      <w:kern w:val="0"/>
      <w:sz w:val="34"/>
      <w:szCs w:val="20"/>
    </w:rPr>
  </w:style>
  <w:style w:type="paragraph" w:styleId="BodyText3">
    <w:name w:val="Body Text 3"/>
    <w:basedOn w:val="Normal"/>
    <w:link w:val="3Char2"/>
    <w:qFormat/>
    <w:pPr>
      <w:spacing w:after="120"/>
    </w:pPr>
    <w:rPr>
      <w:sz w:val="16"/>
      <w:szCs w:val="16"/>
    </w:rPr>
  </w:style>
  <w:style w:type="paragraph" w:styleId="BodyText">
    <w:name w:val="Body Text"/>
    <w:basedOn w:val="Normal"/>
    <w:next w:val="Normal"/>
    <w:link w:val="Char7"/>
    <w:qFormat/>
    <w:pPr>
      <w:spacing w:line="360" w:lineRule="auto"/>
    </w:pPr>
    <w:rPr>
      <w:b/>
      <w:bCs/>
      <w:sz w:val="24"/>
    </w:rPr>
  </w:style>
  <w:style w:type="paragraph" w:styleId="BodyTextIndent">
    <w:name w:val="Body Text Indent"/>
    <w:basedOn w:val="Normal"/>
    <w:link w:val="Char1"/>
    <w:qFormat/>
    <w:pPr>
      <w:spacing w:line="360" w:lineRule="auto"/>
      <w:ind w:firstLine="420" w:firstLineChars="200"/>
    </w:pPr>
  </w:style>
  <w:style w:type="paragraph" w:styleId="TOC5">
    <w:name w:val="toc 5"/>
    <w:basedOn w:val="Normal"/>
    <w:next w:val="Normal"/>
    <w:semiHidden/>
    <w:qFormat/>
    <w:pPr>
      <w:ind w:left="840"/>
      <w:jc w:val="left"/>
    </w:pPr>
    <w:rPr>
      <w:szCs w:val="21"/>
    </w:rPr>
  </w:style>
  <w:style w:type="paragraph" w:styleId="TOC3">
    <w:name w:val="toc 3"/>
    <w:basedOn w:val="Normal"/>
    <w:next w:val="Normal"/>
    <w:semiHidden/>
    <w:qFormat/>
    <w:pPr>
      <w:ind w:left="420"/>
      <w:jc w:val="left"/>
    </w:pPr>
    <w:rPr>
      <w:i/>
      <w:iCs/>
    </w:rPr>
  </w:style>
  <w:style w:type="paragraph" w:styleId="PlainText">
    <w:name w:val="Plain Text"/>
    <w:basedOn w:val="Normal"/>
    <w:link w:val="Char5"/>
    <w:qFormat/>
    <w:rPr>
      <w:rFonts w:ascii="宋体" w:hAnsi="Courier New"/>
      <w:szCs w:val="20"/>
    </w:rPr>
  </w:style>
  <w:style w:type="paragraph" w:styleId="TOC8">
    <w:name w:val="toc 8"/>
    <w:basedOn w:val="Normal"/>
    <w:next w:val="Normal"/>
    <w:semiHidden/>
    <w:qFormat/>
    <w:pPr>
      <w:ind w:left="1470"/>
      <w:jc w:val="left"/>
    </w:pPr>
    <w:rPr>
      <w:szCs w:val="21"/>
    </w:rPr>
  </w:style>
  <w:style w:type="paragraph" w:styleId="Date">
    <w:name w:val="Date"/>
    <w:basedOn w:val="Normal"/>
    <w:next w:val="Normal"/>
    <w:link w:val="Char4"/>
    <w:qFormat/>
    <w:rPr>
      <w:rFonts w:ascii="宋体" w:hAnsi="Courier New"/>
      <w:sz w:val="32"/>
      <w:szCs w:val="20"/>
    </w:rPr>
  </w:style>
  <w:style w:type="paragraph" w:styleId="BodyTextIndent2">
    <w:name w:val="Body Text Indent 2"/>
    <w:basedOn w:val="Normal"/>
    <w:link w:val="2Char0"/>
    <w:qFormat/>
    <w:pPr>
      <w:spacing w:beforeLines="50" w:afterLines="50" w:line="120" w:lineRule="auto"/>
      <w:ind w:firstLine="840" w:firstLineChars="400"/>
      <w:jc w:val="left"/>
    </w:pPr>
    <w:rPr>
      <w:rFonts w:ascii="宋体" w:hAnsi="宋体"/>
    </w:rPr>
  </w:style>
  <w:style w:type="paragraph" w:styleId="BalloonText">
    <w:name w:val="Balloon Text"/>
    <w:basedOn w:val="Normal"/>
    <w:link w:val="Char10"/>
    <w:semiHidden/>
    <w:qFormat/>
    <w:rPr>
      <w:sz w:val="18"/>
      <w:szCs w:val="18"/>
    </w:rPr>
  </w:style>
  <w:style w:type="paragraph" w:styleId="Footer">
    <w:name w:val="footer"/>
    <w:basedOn w:val="Normal"/>
    <w:link w:val="Char9"/>
    <w:qFormat/>
    <w:pPr>
      <w:tabs>
        <w:tab w:val="center" w:pos="4153"/>
        <w:tab w:val="right" w:pos="8306"/>
      </w:tabs>
      <w:snapToGrid w:val="0"/>
      <w:jc w:val="left"/>
    </w:pPr>
    <w:rPr>
      <w:sz w:val="18"/>
      <w:szCs w:val="18"/>
    </w:rPr>
  </w:style>
  <w:style w:type="paragraph" w:styleId="Header">
    <w:name w:val="header"/>
    <w:basedOn w:val="Normal"/>
    <w:link w:val="Char8"/>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semiHidden/>
    <w:qFormat/>
    <w:pPr>
      <w:spacing w:before="120" w:after="120"/>
      <w:jc w:val="left"/>
    </w:pPr>
    <w:rPr>
      <w:b/>
      <w:bCs/>
      <w:caps/>
    </w:rPr>
  </w:style>
  <w:style w:type="paragraph" w:styleId="TOC4">
    <w:name w:val="toc 4"/>
    <w:basedOn w:val="Normal"/>
    <w:next w:val="Normal"/>
    <w:semiHidden/>
    <w:qFormat/>
    <w:pPr>
      <w:ind w:left="630"/>
      <w:jc w:val="left"/>
    </w:pPr>
    <w:rPr>
      <w:szCs w:val="21"/>
    </w:rPr>
  </w:style>
  <w:style w:type="paragraph" w:styleId="TOC6">
    <w:name w:val="toc 6"/>
    <w:basedOn w:val="Normal"/>
    <w:next w:val="Normal"/>
    <w:semiHidden/>
    <w:qFormat/>
    <w:pPr>
      <w:ind w:left="1050"/>
      <w:jc w:val="left"/>
    </w:pPr>
    <w:rPr>
      <w:szCs w:val="21"/>
    </w:rPr>
  </w:style>
  <w:style w:type="paragraph" w:styleId="BodyTextIndent3">
    <w:name w:val="Body Text Indent 3"/>
    <w:basedOn w:val="Normal"/>
    <w:link w:val="3Char0"/>
    <w:qFormat/>
    <w:pPr>
      <w:spacing w:line="360" w:lineRule="auto"/>
      <w:ind w:firstLine="482" w:firstLineChars="200"/>
    </w:pPr>
    <w:rPr>
      <w:rFonts w:ascii="宋体"/>
      <w:b/>
      <w:bCs/>
      <w:sz w:val="24"/>
    </w:rPr>
  </w:style>
  <w:style w:type="paragraph" w:styleId="TOC2">
    <w:name w:val="toc 2"/>
    <w:basedOn w:val="Normal"/>
    <w:next w:val="Normal"/>
    <w:semiHidden/>
    <w:qFormat/>
    <w:pPr>
      <w:tabs>
        <w:tab w:val="right" w:leader="dot" w:pos="8296"/>
      </w:tabs>
      <w:ind w:left="210"/>
      <w:jc w:val="left"/>
    </w:pPr>
    <w:rPr>
      <w:smallCaps/>
    </w:rPr>
  </w:style>
  <w:style w:type="paragraph" w:styleId="TOC9">
    <w:name w:val="toc 9"/>
    <w:basedOn w:val="Normal"/>
    <w:next w:val="Normal"/>
    <w:semiHidden/>
    <w:qFormat/>
    <w:pPr>
      <w:ind w:left="1680"/>
      <w:jc w:val="left"/>
    </w:pPr>
    <w:rPr>
      <w:szCs w:val="21"/>
    </w:rPr>
  </w:style>
  <w:style w:type="paragraph" w:styleId="BodyText2">
    <w:name w:val="Body Text 2"/>
    <w:basedOn w:val="Normal"/>
    <w:link w:val="2Char1"/>
    <w:qFormat/>
    <w:pPr>
      <w:spacing w:line="360" w:lineRule="auto"/>
    </w:pPr>
    <w:rPr>
      <w:sz w:val="24"/>
    </w:rPr>
  </w:style>
  <w:style w:type="paragraph" w:styleId="HTMLPreformatted">
    <w:name w:val="HTML Preformatted"/>
    <w:basedOn w:val="Normal"/>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NormalWeb">
    <w:name w:val="Normal (Web)"/>
    <w:basedOn w:val="Normal"/>
    <w:uiPriority w:val="99"/>
    <w:qFormat/>
    <w:pPr>
      <w:jc w:val="left"/>
    </w:pPr>
    <w:rPr>
      <w:kern w:val="0"/>
      <w:sz w:val="24"/>
    </w:rPr>
  </w:style>
  <w:style w:type="paragraph" w:styleId="Index1">
    <w:name w:val="index 1"/>
    <w:basedOn w:val="Normal"/>
    <w:next w:val="Normal"/>
    <w:semiHidden/>
    <w:qFormat/>
    <w:pPr>
      <w:tabs>
        <w:tab w:val="left" w:pos="3360"/>
      </w:tabs>
      <w:spacing w:line="520" w:lineRule="exact"/>
      <w:ind w:left="419" w:hanging="314" w:leftChars="50" w:hangingChars="131"/>
      <w:jc w:val="center"/>
      <w:outlineLvl w:val="3"/>
    </w:pPr>
    <w:rPr>
      <w:rFonts w:ascii="宋体" w:hAnsi="宋体"/>
      <w:sz w:val="24"/>
    </w:rPr>
  </w:style>
  <w:style w:type="paragraph" w:styleId="Title">
    <w:name w:val="Title"/>
    <w:basedOn w:val="Normal"/>
    <w:link w:val="Char3"/>
    <w:qFormat/>
    <w:pPr>
      <w:spacing w:before="240" w:after="60"/>
      <w:jc w:val="center"/>
      <w:outlineLvl w:val="0"/>
    </w:pPr>
    <w:rPr>
      <w:rFonts w:ascii="Arial" w:eastAsia="隶书" w:hAnsi="Arial" w:cs="Arial"/>
      <w:b/>
      <w:bCs/>
      <w:sz w:val="32"/>
      <w:szCs w:val="32"/>
    </w:rPr>
  </w:style>
  <w:style w:type="paragraph" w:styleId="CommentSubject">
    <w:name w:val="annotation subject"/>
    <w:basedOn w:val="CommentText"/>
    <w:next w:val="CommentText"/>
    <w:link w:val="Char17"/>
    <w:qFormat/>
    <w:pPr>
      <w:autoSpaceDE/>
      <w:autoSpaceDN/>
      <w:adjustRightInd/>
      <w:textAlignment w:val="auto"/>
    </w:pPr>
    <w:rPr>
      <w:rFonts w:ascii="Times New Roman"/>
      <w:b/>
      <w:bCs/>
      <w:kern w:val="2"/>
      <w:sz w:val="21"/>
      <w:szCs w:val="24"/>
    </w:rPr>
  </w:style>
  <w:style w:type="paragraph" w:styleId="BodyTextFirstIndent">
    <w:name w:val="Body Text First Indent"/>
    <w:basedOn w:val="BodyText"/>
    <w:link w:val="Char12"/>
    <w:qFormat/>
    <w:pPr>
      <w:spacing w:after="120" w:line="240" w:lineRule="auto"/>
      <w:ind w:firstLine="420" w:firstLineChars="100"/>
    </w:pPr>
    <w:rPr>
      <w:sz w:val="21"/>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Definition">
    <w:name w:val="HTML Definition"/>
    <w:basedOn w:val="DefaultParagraphFont"/>
    <w:semiHidden/>
    <w:unhideWhenUsed/>
    <w:qFormat/>
  </w:style>
  <w:style w:type="character" w:styleId="HTMLTypewriter">
    <w:name w:val="HTML Typewriter"/>
    <w:basedOn w:val="DefaultParagraphFont"/>
    <w:semiHidden/>
    <w:unhideWhenUsed/>
    <w:qFormat/>
    <w:rPr>
      <w:rFonts w:ascii="monospace" w:eastAsia="monospace" w:hAnsi="monospace" w:cs="monospace" w:hint="default"/>
      <w:sz w:val="20"/>
    </w:rPr>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basedOn w:val="DefaultParagraphFont"/>
    <w:qFormat/>
    <w:rPr>
      <w:color w:val="0000FF"/>
      <w:u w:val="single"/>
    </w:rPr>
  </w:style>
  <w:style w:type="character" w:styleId="HTMLCode">
    <w:name w:val="HTML Code"/>
    <w:basedOn w:val="DefaultParagraphFont"/>
    <w:semiHidden/>
    <w:unhideWhenUsed/>
    <w:qFormat/>
    <w:rPr>
      <w:rFonts w:ascii="monospace" w:eastAsia="monospace" w:hAnsi="monospace" w:cs="monospace"/>
      <w:sz w:val="20"/>
    </w:rPr>
  </w:style>
  <w:style w:type="character" w:styleId="CommentReference">
    <w:name w:val="annotation reference"/>
    <w:basedOn w:val="DefaultParagraphFont"/>
    <w:qFormat/>
    <w:rPr>
      <w:sz w:val="21"/>
      <w:szCs w:val="21"/>
    </w:rPr>
  </w:style>
  <w:style w:type="character" w:styleId="HTMLCite">
    <w:name w:val="HTML Cite"/>
    <w:basedOn w:val="DefaultParagraphFont"/>
    <w:semiHidden/>
    <w:unhideWhenUsed/>
    <w:qFormat/>
  </w:style>
  <w:style w:type="character" w:styleId="HTMLKeyboard">
    <w:name w:val="HTML Keyboard"/>
    <w:basedOn w:val="DefaultParagraphFont"/>
    <w:semiHidden/>
    <w:unhideWhenUsed/>
    <w:qFormat/>
    <w:rPr>
      <w:rFonts w:ascii="monospace" w:eastAsia="monospace" w:hAnsi="monospace" w:cs="monospace" w:hint="default"/>
      <w:sz w:val="20"/>
    </w:rPr>
  </w:style>
  <w:style w:type="character" w:styleId="HTMLSample">
    <w:name w:val="HTML Sample"/>
    <w:basedOn w:val="DefaultParagraphFont"/>
    <w:semiHidden/>
    <w:unhideWhenUsed/>
    <w:qFormat/>
    <w:rPr>
      <w:rFonts w:ascii="monospace" w:eastAsia="monospace" w:hAnsi="monospace" w:cs="monospace" w:hint="default"/>
    </w:rPr>
  </w:style>
  <w:style w:type="paragraph" w:customStyle="1" w:styleId="a">
    <w:name w:val="表格文字"/>
    <w:basedOn w:val="Normal"/>
    <w:qFormat/>
    <w:pPr>
      <w:spacing w:before="25" w:after="25"/>
      <w:jc w:val="left"/>
    </w:pPr>
    <w:rPr>
      <w:bCs/>
      <w:spacing w:val="10"/>
      <w:sz w:val="24"/>
    </w:rPr>
  </w:style>
  <w:style w:type="character" w:customStyle="1" w:styleId="4Char">
    <w:name w:val="标题 4 Char"/>
    <w:link w:val="Heading4"/>
    <w:qFormat/>
    <w:rPr>
      <w:rFonts w:ascii="Arial" w:eastAsia="黑体" w:hAnsi="Arial"/>
      <w:b/>
      <w:bCs/>
      <w:kern w:val="2"/>
      <w:sz w:val="28"/>
      <w:szCs w:val="28"/>
      <w:lang w:val="en-US" w:eastAsia="zh-CN" w:bidi="ar-SA"/>
    </w:rPr>
  </w:style>
  <w:style w:type="paragraph" w:customStyle="1" w:styleId="Char">
    <w:name w:val="Char"/>
    <w:basedOn w:val="Normal"/>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Heading3"/>
    <w:qFormat/>
    <w:rPr>
      <w:rFonts w:ascii="宋体" w:eastAsia="宋体" w:hAnsi="宋体"/>
      <w:b/>
      <w:bCs/>
      <w:kern w:val="2"/>
      <w:sz w:val="28"/>
      <w:szCs w:val="32"/>
      <w:lang w:val="en-US" w:eastAsia="zh-CN" w:bidi="ar-SA"/>
    </w:rPr>
  </w:style>
  <w:style w:type="character" w:customStyle="1" w:styleId="1Char">
    <w:name w:val="标题 1 Char"/>
    <w:link w:val="Heading1"/>
    <w:qFormat/>
    <w:rPr>
      <w:rFonts w:ascii="黑体" w:eastAsia="黑体" w:hAnsi="黑体"/>
      <w:bCs/>
      <w:kern w:val="44"/>
      <w:sz w:val="36"/>
      <w:szCs w:val="36"/>
    </w:rPr>
  </w:style>
  <w:style w:type="character" w:customStyle="1" w:styleId="Char0">
    <w:name w:val="正文缩进 Char"/>
    <w:link w:val="NormalIndent"/>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Normal"/>
    <w:qFormat/>
    <w:pPr>
      <w:numPr>
        <w:ilvl w:val="0"/>
        <w:numId w:val="2"/>
      </w:numPr>
      <w:tabs>
        <w:tab w:val="left" w:pos="945"/>
      </w:tabs>
      <w:spacing w:line="360" w:lineRule="auto"/>
    </w:pPr>
    <w:rPr>
      <w:b/>
      <w:color w:val="000000"/>
      <w:sz w:val="24"/>
      <w:szCs w:val="20"/>
    </w:rPr>
  </w:style>
  <w:style w:type="paragraph" w:customStyle="1" w:styleId="a0">
    <w:name w:val="图"/>
    <w:basedOn w:val="Normal"/>
    <w:qFormat/>
    <w:pPr>
      <w:keepNext/>
      <w:adjustRightInd w:val="0"/>
      <w:snapToGrid w:val="0"/>
      <w:spacing w:before="60" w:after="60" w:line="300" w:lineRule="auto"/>
      <w:jc w:val="center"/>
    </w:pPr>
    <w:rPr>
      <w:spacing w:val="20"/>
      <w:kern w:val="0"/>
      <w:sz w:val="24"/>
      <w:szCs w:val="20"/>
    </w:rPr>
  </w:style>
  <w:style w:type="paragraph" w:customStyle="1" w:styleId="a1">
    <w:name w:val="文档正文"/>
    <w:basedOn w:val="Normal"/>
    <w:qFormat/>
    <w:pPr>
      <w:adjustRightInd w:val="0"/>
      <w:spacing w:line="480" w:lineRule="atLeast"/>
      <w:ind w:firstLine="567" w:firstLineChars="200"/>
      <w:textAlignment w:val="baseline"/>
    </w:pPr>
    <w:rPr>
      <w:rFonts w:ascii="长城仿宋"/>
      <w:kern w:val="0"/>
      <w:szCs w:val="20"/>
    </w:rPr>
  </w:style>
  <w:style w:type="paragraph" w:customStyle="1" w:styleId="CharCharCharChar">
    <w:name w:val="Char Char Char Char"/>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Normal"/>
    <w:qFormat/>
    <w:pPr>
      <w:suppressAutoHyphens/>
      <w:autoSpaceDE w:val="0"/>
      <w:spacing w:after="120"/>
      <w:jc w:val="left"/>
    </w:pPr>
    <w:rPr>
      <w:rFonts w:ascii="Helvetica" w:hAnsi="Helvetica"/>
      <w:kern w:val="1"/>
      <w:sz w:val="20"/>
      <w:szCs w:val="20"/>
    </w:rPr>
  </w:style>
  <w:style w:type="paragraph" w:customStyle="1" w:styleId="a2">
    <w:name w:val="自定义正文"/>
    <w:basedOn w:val="Normal"/>
    <w:qFormat/>
    <w:pPr>
      <w:spacing w:afterLines="50"/>
      <w:ind w:left="600" w:leftChars="600"/>
    </w:pPr>
  </w:style>
  <w:style w:type="paragraph" w:customStyle="1" w:styleId="CharCharCharCharChar">
    <w:name w:val="Char Char Char Char Char"/>
    <w:basedOn w:val="Normal"/>
    <w:qFormat/>
    <w:rPr>
      <w:rFonts w:ascii="Tahoma" w:hAnsi="Tahoma"/>
      <w:sz w:val="24"/>
      <w:szCs w:val="20"/>
    </w:rPr>
  </w:style>
  <w:style w:type="paragraph" w:customStyle="1" w:styleId="1">
    <w:name w:val="小标题 1"/>
    <w:basedOn w:val="Normal"/>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Normal"/>
    <w:qFormat/>
    <w:rPr>
      <w:rFonts w:ascii="Tahoma" w:hAnsi="Tahoma"/>
      <w:sz w:val="24"/>
      <w:szCs w:val="20"/>
    </w:rPr>
  </w:style>
  <w:style w:type="paragraph" w:customStyle="1" w:styleId="a3">
    <w:name w:val="È±Ê¡ÎÄ±¾"/>
    <w:basedOn w:val="Normal"/>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Heading2"/>
    <w:qFormat/>
    <w:rPr>
      <w:rFonts w:ascii="宋体" w:eastAsia="宋体" w:hAnsi="宋体"/>
      <w:b/>
      <w:bCs/>
      <w:sz w:val="24"/>
      <w:lang w:val="en-US" w:eastAsia="zh-CN" w:bidi="ar-SA"/>
    </w:rPr>
  </w:style>
  <w:style w:type="paragraph" w:customStyle="1" w:styleId="CharCharCharCharCharChar1Char">
    <w:name w:val="Char Char Char Char Char Char1 Char"/>
    <w:basedOn w:val="Normal"/>
    <w:qFormat/>
    <w:pPr>
      <w:widowControl/>
      <w:spacing w:after="160" w:line="240" w:lineRule="exact"/>
      <w:jc w:val="left"/>
    </w:pPr>
    <w:rPr>
      <w:rFonts w:ascii="Verdana" w:hAnsi="Verdana"/>
      <w:kern w:val="0"/>
      <w:szCs w:val="20"/>
      <w:lang w:eastAsia="en-US"/>
    </w:rPr>
  </w:style>
  <w:style w:type="paragraph" w:styleId="ListParagraph">
    <w:name w:val="List Paragraph"/>
    <w:basedOn w:val="Normal"/>
    <w:uiPriority w:val="34"/>
    <w:qFormat/>
    <w:pPr>
      <w:ind w:firstLine="420" w:firstLineChars="200"/>
    </w:pPr>
    <w:rPr>
      <w:rFonts w:ascii="Calibri" w:hAnsi="Calibri"/>
      <w:szCs w:val="22"/>
    </w:rPr>
  </w:style>
  <w:style w:type="paragraph" w:customStyle="1" w:styleId="USE1">
    <w:name w:val="USE 1"/>
    <w:basedOn w:val="Normal"/>
    <w:qFormat/>
    <w:pPr>
      <w:spacing w:line="200" w:lineRule="atLeast"/>
      <w:jc w:val="left"/>
    </w:pPr>
    <w:rPr>
      <w:rFonts w:ascii="宋体" w:hAnsi="宋体"/>
      <w:b/>
      <w:sz w:val="24"/>
      <w:szCs w:val="28"/>
    </w:rPr>
  </w:style>
  <w:style w:type="paragraph" w:customStyle="1" w:styleId="RFItextfrom3rdLevel">
    <w:name w:val="RFI text from 3rd Level"/>
    <w:basedOn w:val="Normal"/>
    <w:qFormat/>
    <w:pPr>
      <w:widowControl/>
      <w:numPr>
        <w:ilvl w:val="0"/>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4">
    <w:name w:val="正文文字缩进项目"/>
    <w:basedOn w:val="BodyTextIndent"/>
    <w:qFormat/>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21313">
    <w:name w:val="样式 标题 2 + 段前: 13 磅 段后: 13 磅 行距: 单倍行距"/>
    <w:basedOn w:val="Heading2"/>
    <w:qFormat/>
    <w:pPr>
      <w:adjustRightInd/>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1">
    <w:name w:val="正文文本缩进 Char"/>
    <w:link w:val="BodyTextIndent"/>
    <w:qFormat/>
    <w:rPr>
      <w:rFonts w:eastAsia="宋体"/>
      <w:kern w:val="2"/>
      <w:sz w:val="21"/>
      <w:szCs w:val="24"/>
      <w:lang w:val="en-US" w:eastAsia="zh-CN" w:bidi="ar-SA"/>
    </w:rPr>
  </w:style>
  <w:style w:type="character" w:customStyle="1" w:styleId="5Char">
    <w:name w:val="标题 5 Char"/>
    <w:link w:val="Heading5"/>
    <w:qFormat/>
    <w:rPr>
      <w:rFonts w:eastAsia="宋体"/>
      <w:b/>
      <w:kern w:val="2"/>
      <w:sz w:val="28"/>
      <w:lang w:val="en-US" w:eastAsia="zh-CN" w:bidi="ar-SA"/>
    </w:rPr>
  </w:style>
  <w:style w:type="character" w:customStyle="1" w:styleId="Char2">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Heading6"/>
    <w:qFormat/>
    <w:rPr>
      <w:rFonts w:ascii="Arial" w:eastAsia="黑体" w:hAnsi="Arial"/>
      <w:b/>
      <w:kern w:val="2"/>
      <w:sz w:val="24"/>
      <w:lang w:val="en-US" w:eastAsia="zh-CN" w:bidi="ar-SA"/>
    </w:rPr>
  </w:style>
  <w:style w:type="character" w:customStyle="1" w:styleId="7Char">
    <w:name w:val="标题 7 Char"/>
    <w:link w:val="Heading7"/>
    <w:qFormat/>
    <w:rPr>
      <w:rFonts w:eastAsia="宋体"/>
      <w:b/>
      <w:kern w:val="2"/>
      <w:sz w:val="24"/>
      <w:lang w:val="en-US" w:eastAsia="zh-CN" w:bidi="ar-SA"/>
    </w:rPr>
  </w:style>
  <w:style w:type="character" w:customStyle="1" w:styleId="8Char">
    <w:name w:val="标题 8 Char"/>
    <w:link w:val="Heading8"/>
    <w:qFormat/>
    <w:rPr>
      <w:rFonts w:ascii="Arial" w:eastAsia="黑体" w:hAnsi="Arial"/>
      <w:kern w:val="2"/>
      <w:sz w:val="24"/>
      <w:lang w:val="en-US" w:eastAsia="zh-CN" w:bidi="ar-SA"/>
    </w:rPr>
  </w:style>
  <w:style w:type="character" w:customStyle="1" w:styleId="9Char">
    <w:name w:val="标题 9 Char"/>
    <w:link w:val="Heading9"/>
    <w:qFormat/>
    <w:rPr>
      <w:rFonts w:ascii="Arial" w:eastAsia="黑体" w:hAnsi="Arial"/>
      <w:kern w:val="2"/>
      <w:sz w:val="21"/>
      <w:lang w:val="en-US" w:eastAsia="zh-CN" w:bidi="ar-SA"/>
    </w:rPr>
  </w:style>
  <w:style w:type="character" w:customStyle="1" w:styleId="Char3">
    <w:name w:val="标题 Char"/>
    <w:link w:val="Title"/>
    <w:qFormat/>
    <w:rPr>
      <w:rFonts w:ascii="Arial" w:eastAsia="隶书" w:hAnsi="Arial" w:cs="Arial"/>
      <w:b/>
      <w:bCs/>
      <w:kern w:val="2"/>
      <w:sz w:val="32"/>
      <w:szCs w:val="32"/>
      <w:lang w:val="en-US" w:eastAsia="zh-CN" w:bidi="ar-SA"/>
    </w:rPr>
  </w:style>
  <w:style w:type="character" w:customStyle="1" w:styleId="Char4">
    <w:name w:val="日期 Char"/>
    <w:link w:val="Date"/>
    <w:qFormat/>
    <w:rPr>
      <w:rFonts w:ascii="宋体" w:eastAsia="宋体" w:hAnsi="Courier New"/>
      <w:kern w:val="2"/>
      <w:sz w:val="32"/>
      <w:lang w:val="en-US" w:eastAsia="zh-CN" w:bidi="ar-SA"/>
    </w:rPr>
  </w:style>
  <w:style w:type="character" w:customStyle="1" w:styleId="HTMLChar">
    <w:name w:val="HTML 预设格式 Char"/>
    <w:link w:val="HTMLPreformatted"/>
    <w:qFormat/>
    <w:rPr>
      <w:rFonts w:ascii="Arial Unicode MS" w:eastAsia="Arial Unicode MS" w:hAnsi="Arial Unicode MS"/>
      <w:color w:val="000000"/>
      <w:lang w:val="en-US" w:eastAsia="zh-CN" w:bidi="ar-SA"/>
    </w:rPr>
  </w:style>
  <w:style w:type="character" w:customStyle="1" w:styleId="Char5">
    <w:name w:val="纯文本 Char"/>
    <w:link w:val="PlainText"/>
    <w:qFormat/>
    <w:rPr>
      <w:rFonts w:ascii="宋体" w:eastAsia="宋体" w:hAnsi="Courier New"/>
      <w:kern w:val="2"/>
      <w:sz w:val="21"/>
      <w:lang w:val="en-US" w:eastAsia="zh-CN" w:bidi="ar-SA"/>
    </w:rPr>
  </w:style>
  <w:style w:type="character" w:customStyle="1" w:styleId="Char6">
    <w:name w:val="正文文字首行缩进 Char"/>
    <w:qFormat/>
    <w:rPr>
      <w:kern w:val="2"/>
      <w:sz w:val="21"/>
      <w:szCs w:val="24"/>
    </w:rPr>
  </w:style>
  <w:style w:type="character" w:customStyle="1" w:styleId="Char7">
    <w:name w:val="正文文本 Char"/>
    <w:link w:val="BodyText"/>
    <w:qFormat/>
    <w:rPr>
      <w:rFonts w:eastAsia="宋体"/>
      <w:b/>
      <w:bCs/>
      <w:kern w:val="2"/>
      <w:sz w:val="24"/>
      <w:szCs w:val="24"/>
      <w:lang w:val="en-US" w:eastAsia="zh-CN" w:bidi="ar-SA"/>
    </w:rPr>
  </w:style>
  <w:style w:type="character" w:customStyle="1" w:styleId="2Char0">
    <w:name w:val="正文文本缩进 2 Char"/>
    <w:link w:val="BodyTextIndent2"/>
    <w:qFormat/>
    <w:rPr>
      <w:rFonts w:ascii="宋体" w:eastAsia="宋体" w:hAnsi="宋体"/>
      <w:kern w:val="2"/>
      <w:sz w:val="21"/>
      <w:szCs w:val="24"/>
      <w:lang w:val="en-US" w:eastAsia="zh-CN" w:bidi="ar-SA"/>
    </w:rPr>
  </w:style>
  <w:style w:type="character" w:customStyle="1" w:styleId="Char8">
    <w:name w:val="页眉 Char"/>
    <w:link w:val="Header"/>
    <w:qFormat/>
    <w:rPr>
      <w:rFonts w:eastAsia="宋体"/>
      <w:kern w:val="2"/>
      <w:sz w:val="18"/>
      <w:szCs w:val="18"/>
      <w:lang w:val="en-US" w:eastAsia="zh-CN" w:bidi="ar-SA"/>
    </w:rPr>
  </w:style>
  <w:style w:type="character" w:customStyle="1" w:styleId="3Char0">
    <w:name w:val="正文文本缩进 3 Char"/>
    <w:link w:val="BodyTextIndent3"/>
    <w:qFormat/>
    <w:rPr>
      <w:rFonts w:ascii="宋体" w:eastAsia="宋体"/>
      <w:b/>
      <w:bCs/>
      <w:kern w:val="2"/>
      <w:sz w:val="24"/>
      <w:szCs w:val="24"/>
      <w:lang w:val="en-US" w:eastAsia="zh-CN" w:bidi="ar-SA"/>
    </w:rPr>
  </w:style>
  <w:style w:type="character" w:customStyle="1" w:styleId="2Char1">
    <w:name w:val="正文文本 2 Char"/>
    <w:link w:val="BodyText2"/>
    <w:qFormat/>
    <w:rPr>
      <w:rFonts w:eastAsia="宋体"/>
      <w:kern w:val="2"/>
      <w:sz w:val="24"/>
      <w:szCs w:val="24"/>
      <w:lang w:val="en-US" w:eastAsia="zh-CN" w:bidi="ar-SA"/>
    </w:rPr>
  </w:style>
  <w:style w:type="character" w:customStyle="1" w:styleId="Char9">
    <w:name w:val="页脚 Char"/>
    <w:link w:val="Footer"/>
    <w:qFormat/>
    <w:rPr>
      <w:rFonts w:eastAsia="宋体"/>
      <w:kern w:val="2"/>
      <w:sz w:val="18"/>
      <w:szCs w:val="18"/>
      <w:lang w:val="en-US" w:eastAsia="zh-CN" w:bidi="ar-SA"/>
    </w:rPr>
  </w:style>
  <w:style w:type="character" w:customStyle="1" w:styleId="3Char2">
    <w:name w:val="正文文本 3 Char"/>
    <w:link w:val="BodyText3"/>
    <w:qFormat/>
    <w:rPr>
      <w:rFonts w:eastAsia="宋体"/>
      <w:kern w:val="2"/>
      <w:sz w:val="16"/>
      <w:szCs w:val="16"/>
      <w:lang w:val="en-US" w:eastAsia="zh-CN" w:bidi="ar-SA"/>
    </w:rPr>
  </w:style>
  <w:style w:type="character" w:customStyle="1" w:styleId="Char10">
    <w:name w:val="批注框文本 Char"/>
    <w:link w:val="BalloonText"/>
    <w:semiHidden/>
    <w:qFormat/>
    <w:rPr>
      <w:rFonts w:eastAsia="宋体"/>
      <w:kern w:val="2"/>
      <w:sz w:val="18"/>
      <w:szCs w:val="18"/>
      <w:lang w:val="en-US" w:eastAsia="zh-CN" w:bidi="ar-SA"/>
    </w:rPr>
  </w:style>
  <w:style w:type="paragraph" w:customStyle="1" w:styleId="10">
    <w:name w:val="样式1"/>
    <w:basedOn w:val="Title"/>
    <w:qFormat/>
    <w:pPr>
      <w:spacing w:before="120" w:after="120"/>
    </w:pPr>
    <w:rPr>
      <w:rFonts w:eastAsia="黑体"/>
      <w:b w:val="0"/>
      <w:sz w:val="30"/>
      <w:szCs w:val="21"/>
    </w:rPr>
  </w:style>
  <w:style w:type="paragraph" w:customStyle="1" w:styleId="2">
    <w:name w:val="样式2"/>
    <w:basedOn w:val="Title"/>
    <w:next w:val="10"/>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Normal"/>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Normal"/>
    <w:qFormat/>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
    <w:name w:val="--规划正文"/>
    <w:basedOn w:val="Normal"/>
    <w:qFormat/>
    <w:pPr>
      <w:spacing w:line="360" w:lineRule="auto"/>
      <w:ind w:firstLine="200" w:firstLineChars="200"/>
    </w:pPr>
    <w:rPr>
      <w:szCs w:val="20"/>
    </w:rPr>
  </w:style>
  <w:style w:type="paragraph" w:customStyle="1" w:styleId="a5">
    <w:name w:val="设计依据"/>
    <w:basedOn w:val="BodyText"/>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6">
    <w:name w:val="方案要点"/>
    <w:basedOn w:val="Normal"/>
    <w:qFormat/>
    <w:pPr>
      <w:numPr>
        <w:ilvl w:val="0"/>
        <w:numId w:val="4"/>
      </w:numPr>
      <w:spacing w:line="360" w:lineRule="auto"/>
    </w:pPr>
    <w:rPr>
      <w:rFonts w:ascii="仿宋_GB2312" w:eastAsia="仿宋_GB2312" w:hAnsi="宋体"/>
      <w:color w:val="000000"/>
      <w:sz w:val="28"/>
      <w:szCs w:val="28"/>
    </w:rPr>
  </w:style>
  <w:style w:type="paragraph" w:customStyle="1" w:styleId="4">
    <w:name w:val="样式4"/>
    <w:basedOn w:val="Normal"/>
    <w:qFormat/>
    <w:pPr>
      <w:tabs>
        <w:tab w:val="left" w:pos="842"/>
      </w:tabs>
      <w:spacing w:line="360" w:lineRule="auto"/>
      <w:ind w:left="842" w:hanging="420"/>
    </w:pPr>
    <w:rPr>
      <w:sz w:val="24"/>
    </w:rPr>
  </w:style>
  <w:style w:type="paragraph" w:customStyle="1" w:styleId="a7">
    <w:name w:val="文字"/>
    <w:basedOn w:val="Normal"/>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0" w:firstLineChars="0"/>
    </w:pPr>
    <w:rPr>
      <w:sz w:val="20"/>
    </w:rPr>
  </w:style>
  <w:style w:type="paragraph" w:customStyle="1" w:styleId="----0">
    <w:name w:val="--规划-表格-居中"/>
    <w:basedOn w:val="--"/>
    <w:qFormat/>
    <w:pPr>
      <w:spacing w:line="240" w:lineRule="auto"/>
      <w:ind w:firstLine="0" w:firstLineChars="0"/>
      <w:jc w:val="center"/>
    </w:pPr>
    <w:rPr>
      <w:sz w:val="20"/>
    </w:rPr>
  </w:style>
  <w:style w:type="paragraph" w:customStyle="1" w:styleId="--0">
    <w:name w:val="--编号内缩进"/>
    <w:basedOn w:val="Normal"/>
    <w:qFormat/>
    <w:pPr>
      <w:spacing w:line="360" w:lineRule="auto"/>
      <w:ind w:left="420" w:firstLine="200" w:firstLineChars="200"/>
    </w:pPr>
    <w:rPr>
      <w:szCs w:val="21"/>
    </w:rPr>
  </w:style>
  <w:style w:type="paragraph" w:customStyle="1" w:styleId="---">
    <w:name w:val="--规划-题注"/>
    <w:basedOn w:val="Normal"/>
    <w:next w:val="--"/>
    <w:qFormat/>
    <w:pPr>
      <w:spacing w:line="360" w:lineRule="auto"/>
      <w:jc w:val="center"/>
    </w:pPr>
    <w:rPr>
      <w:rFonts w:eastAsia="黑体"/>
    </w:rPr>
  </w:style>
  <w:style w:type="paragraph" w:customStyle="1" w:styleId="---0">
    <w:name w:val="--规划-图和表"/>
    <w:next w:val="--"/>
    <w:qFormat/>
    <w:pPr>
      <w:jc w:val="center"/>
    </w:pPr>
    <w:rPr>
      <w:rFonts w:ascii="Times New Roman" w:eastAsia="宋体" w:hAnsi="Times New Roman" w:cs="Times New Roman"/>
      <w:kern w:val="2"/>
      <w:sz w:val="21"/>
      <w:lang w:val="en-US" w:eastAsia="zh-CN" w:bidi="ar-SA"/>
    </w:rPr>
  </w:style>
  <w:style w:type="paragraph" w:customStyle="1" w:styleId="---1">
    <w:name w:val="--规划-小标题"/>
    <w:basedOn w:val="Normal"/>
    <w:next w:val="--"/>
    <w:qFormat/>
    <w:pPr>
      <w:keepNext/>
      <w:keepLines/>
      <w:spacing w:line="360" w:lineRule="auto"/>
      <w:outlineLvl w:val="4"/>
    </w:pPr>
    <w:rPr>
      <w:rFonts w:eastAsia="黑体"/>
    </w:rPr>
  </w:style>
  <w:style w:type="paragraph" w:customStyle="1" w:styleId="--Char">
    <w:name w:val="--规划正文 Char"/>
    <w:basedOn w:val="Normal"/>
    <w:qFormat/>
    <w:pPr>
      <w:spacing w:line="360" w:lineRule="auto"/>
      <w:ind w:firstLine="200" w:firstLineChars="200"/>
    </w:pPr>
    <w:rPr>
      <w:sz w:val="24"/>
    </w:rPr>
  </w:style>
  <w:style w:type="paragraph" w:customStyle="1" w:styleId="a8">
    <w:name w:val="缺省文本"/>
    <w:basedOn w:val="Normal"/>
    <w:qFormat/>
    <w:pPr>
      <w:autoSpaceDE w:val="0"/>
      <w:autoSpaceDN w:val="0"/>
      <w:adjustRightInd w:val="0"/>
      <w:jc w:val="left"/>
    </w:pPr>
    <w:rPr>
      <w:kern w:val="0"/>
    </w:rPr>
  </w:style>
  <w:style w:type="paragraph" w:customStyle="1" w:styleId="a9">
    <w:name w:val="封面文档标题"/>
    <w:basedOn w:val="Normal"/>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Heading1"/>
    <w:qFormat/>
    <w:pPr>
      <w:numPr>
        <w:ilvl w:val="0"/>
        <w:numId w:val="5"/>
      </w:numPr>
      <w:spacing w:before="240" w:after="240" w:line="480" w:lineRule="auto"/>
      <w:ind w:right="210" w:rightChars="10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Normal"/>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10">
    <w:name w:val="列表项目"/>
    <w:basedOn w:val="Normal"/>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DefaultParagraphFont"/>
    <w:qFormat/>
  </w:style>
  <w:style w:type="character" w:customStyle="1" w:styleId="font2">
    <w:name w:val="font2"/>
    <w:basedOn w:val="DefaultParagraphFont"/>
    <w:qFormat/>
  </w:style>
  <w:style w:type="character" w:customStyle="1" w:styleId="font41">
    <w:name w:val="font41"/>
    <w:qFormat/>
    <w:rPr>
      <w:color w:val="000000"/>
      <w:spacing w:val="260"/>
      <w:sz w:val="18"/>
      <w:szCs w:val="18"/>
      <w:u w:val="none"/>
    </w:rPr>
  </w:style>
  <w:style w:type="paragraph" w:customStyle="1" w:styleId="a11">
    <w:name w:val="正文(首行缩进)"/>
    <w:qFormat/>
    <w:pPr>
      <w:spacing w:line="360" w:lineRule="auto"/>
      <w:ind w:firstLine="488" w:firstLineChars="200"/>
      <w:jc w:val="both"/>
    </w:pPr>
    <w:rPr>
      <w:rFonts w:ascii="Times New Roman" w:eastAsia="仿宋_GB2312" w:hAnsi="Times New Roman" w:cs="Times New Roman"/>
      <w:spacing w:val="2"/>
      <w:sz w:val="24"/>
      <w:szCs w:val="24"/>
      <w:lang w:val="en-US" w:eastAsia="zh-CN" w:bidi="ar-SA"/>
    </w:rPr>
  </w:style>
  <w:style w:type="paragraph" w:customStyle="1" w:styleId="xl72">
    <w:name w:val="xl72"/>
    <w:basedOn w:val="Normal"/>
    <w:qFormat/>
    <w:pPr>
      <w:widowControl/>
      <w:spacing w:before="100" w:beforeAutospacing="1" w:after="100" w:afterAutospacing="1"/>
      <w:jc w:val="left"/>
    </w:pPr>
    <w:rPr>
      <w:rFonts w:ascii="宋体" w:hAnsi="宋体"/>
      <w:b/>
      <w:bCs/>
      <w:kern w:val="0"/>
      <w:sz w:val="28"/>
      <w:szCs w:val="28"/>
    </w:rPr>
  </w:style>
  <w:style w:type="character" w:customStyle="1" w:styleId="Char12">
    <w:name w:val="正文首行缩进 Char"/>
    <w:link w:val="BodyTextFirstIndent"/>
    <w:qFormat/>
    <w:rPr>
      <w:rFonts w:eastAsia="宋体"/>
      <w:b/>
      <w:bCs/>
      <w:kern w:val="2"/>
      <w:sz w:val="21"/>
      <w:szCs w:val="24"/>
      <w:lang w:val="en-US" w:eastAsia="zh-CN" w:bidi="ar-SA"/>
    </w:rPr>
  </w:style>
  <w:style w:type="paragraph" w:customStyle="1" w:styleId="Char13">
    <w:name w:val="正文(首行缩进) Char"/>
    <w:qFormat/>
    <w:pPr>
      <w:spacing w:before="120" w:after="60" w:line="360" w:lineRule="auto"/>
      <w:ind w:firstLine="200" w:firstLineChars="200"/>
    </w:pPr>
    <w:rPr>
      <w:rFonts w:ascii="Times New Roman" w:eastAsia="仿宋_GB2312" w:hAnsi="Times New Roman" w:cs="Times New Roman"/>
      <w:spacing w:val="2"/>
      <w:kern w:val="24"/>
      <w:sz w:val="24"/>
      <w:szCs w:val="24"/>
      <w:lang w:val="en-US" w:eastAsia="zh-CN" w:bidi="ar-SA"/>
    </w:rPr>
  </w:style>
  <w:style w:type="paragraph" w:customStyle="1" w:styleId="8">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lang w:val="en-US" w:eastAsia="zh-CN" w:bidi="ar-SA"/>
    </w:rPr>
  </w:style>
  <w:style w:type="paragraph" w:customStyle="1" w:styleId="9BOLD">
    <w:name w:val="汉仪细等线简9BOLD"/>
    <w:basedOn w:val="Normal"/>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DefaultParagraphFont"/>
    <w:qFormat/>
  </w:style>
  <w:style w:type="paragraph" w:customStyle="1" w:styleId="9">
    <w:name w:val="9"/>
    <w:basedOn w:val="Normal"/>
    <w:next w:val="NormalIndent"/>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DefaultParagraphFont"/>
    <w:qFormat/>
  </w:style>
  <w:style w:type="paragraph" w:customStyle="1" w:styleId="80">
    <w:name w:val="8"/>
    <w:basedOn w:val="Normal"/>
    <w:next w:val="BodyTextIndent"/>
    <w:qFormat/>
    <w:pPr>
      <w:spacing w:after="120"/>
      <w:ind w:left="420" w:leftChars="200"/>
    </w:pPr>
  </w:style>
  <w:style w:type="paragraph" w:customStyle="1" w:styleId="7">
    <w:name w:val="7"/>
    <w:basedOn w:val="Normal"/>
    <w:qFormat/>
    <w:pPr>
      <w:autoSpaceDE w:val="0"/>
      <w:autoSpaceDN w:val="0"/>
      <w:adjustRightInd w:val="0"/>
      <w:spacing w:line="270" w:lineRule="atLeast"/>
      <w:jc w:val="left"/>
    </w:pPr>
    <w:rPr>
      <w:rFonts w:ascii="宋体"/>
      <w:kern w:val="0"/>
      <w:sz w:val="18"/>
      <w:szCs w:val="18"/>
    </w:rPr>
  </w:style>
  <w:style w:type="paragraph" w:customStyle="1" w:styleId="00">
    <w:name w:val="00"/>
    <w:basedOn w:val="Normal"/>
    <w:qFormat/>
    <w:pPr>
      <w:autoSpaceDE w:val="0"/>
      <w:autoSpaceDN w:val="0"/>
      <w:adjustRightInd w:val="0"/>
      <w:jc w:val="left"/>
    </w:pPr>
    <w:rPr>
      <w:rFonts w:ascii="黑体" w:eastAsia="黑体"/>
      <w:b/>
      <w:bCs/>
      <w:kern w:val="0"/>
      <w:sz w:val="20"/>
      <w:szCs w:val="20"/>
    </w:rPr>
  </w:style>
  <w:style w:type="paragraph" w:customStyle="1" w:styleId="5">
    <w:name w:val="5"/>
    <w:basedOn w:val="Normal"/>
    <w:qFormat/>
    <w:pPr>
      <w:autoSpaceDE w:val="0"/>
      <w:autoSpaceDN w:val="0"/>
      <w:adjustRightInd w:val="0"/>
      <w:jc w:val="left"/>
    </w:pPr>
    <w:rPr>
      <w:rFonts w:ascii="宋体"/>
      <w:b/>
      <w:bCs/>
      <w:kern w:val="0"/>
      <w:sz w:val="18"/>
      <w:szCs w:val="18"/>
    </w:rPr>
  </w:style>
  <w:style w:type="paragraph" w:customStyle="1" w:styleId="6">
    <w:name w:val="6"/>
    <w:basedOn w:val="5"/>
    <w:qFormat/>
    <w:pPr>
      <w:spacing w:line="270" w:lineRule="atLeast"/>
      <w:jc w:val="both"/>
    </w:pPr>
    <w:rPr>
      <w:b w:val="0"/>
      <w:bCs w:val="0"/>
    </w:rPr>
  </w:style>
  <w:style w:type="paragraph" w:customStyle="1" w:styleId="a12">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lang w:val="en-US" w:eastAsia="zh-CN" w:bidi="ar-SA"/>
    </w:rPr>
  </w:style>
  <w:style w:type="paragraph" w:customStyle="1" w:styleId="a13">
    <w:name w:val="姜文清定义的正文"/>
    <w:basedOn w:val="Normal"/>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lang w:val="en-US" w:eastAsia="zh-CN" w:bidi="ar-SA"/>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Normal"/>
    <w:qFormat/>
    <w:pPr>
      <w:widowControl/>
      <w:spacing w:before="120" w:line="360" w:lineRule="auto"/>
      <w:ind w:firstLine="425"/>
    </w:pPr>
    <w:rPr>
      <w:kern w:val="0"/>
      <w:sz w:val="24"/>
    </w:rPr>
  </w:style>
  <w:style w:type="character" w:customStyle="1" w:styleId="blue">
    <w:name w:val="blue"/>
    <w:basedOn w:val="DefaultParagraphFont"/>
    <w:qFormat/>
  </w:style>
  <w:style w:type="paragraph" w:customStyle="1" w:styleId="blue1">
    <w:name w:val="blue1"/>
    <w:basedOn w:val="Normal"/>
    <w:qFormat/>
    <w:pPr>
      <w:widowControl/>
      <w:spacing w:before="100" w:beforeAutospacing="1" w:after="100" w:afterAutospacing="1"/>
      <w:jc w:val="left"/>
    </w:pPr>
    <w:rPr>
      <w:rFonts w:ascii="宋体" w:hAnsi="宋体" w:cs="宋体"/>
      <w:kern w:val="0"/>
      <w:sz w:val="24"/>
    </w:rPr>
  </w:style>
  <w:style w:type="character" w:customStyle="1" w:styleId="font">
    <w:name w:val="font"/>
    <w:basedOn w:val="DefaultParagraphFont"/>
    <w:qFormat/>
  </w:style>
  <w:style w:type="character" w:customStyle="1" w:styleId="font11">
    <w:name w:val="font11"/>
    <w:qFormat/>
    <w:rPr>
      <w:rFonts w:ascii="ˎ̥" w:hAnsi="ˎ̥" w:hint="default"/>
    </w:rPr>
  </w:style>
  <w:style w:type="paragraph" w:customStyle="1" w:styleId="a14">
    <w:name w:val="a14"/>
    <w:basedOn w:val="Normal"/>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DefaultParagraphFont"/>
    <w:qFormat/>
  </w:style>
  <w:style w:type="character" w:customStyle="1" w:styleId="prodheadlines">
    <w:name w:val="prodheadlines"/>
    <w:basedOn w:val="DefaultParagraphFont"/>
    <w:qFormat/>
  </w:style>
  <w:style w:type="character" w:customStyle="1" w:styleId="text">
    <w:name w:val="text"/>
    <w:basedOn w:val="DefaultParagraphFont"/>
    <w:qFormat/>
  </w:style>
  <w:style w:type="paragraph" w:customStyle="1" w:styleId="text1">
    <w:name w:val="text1"/>
    <w:basedOn w:val="Normal"/>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Normal"/>
    <w:next w:val="Normal"/>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Normal"/>
    <w:next w:val="Normal"/>
    <w:hidden/>
    <w:qFormat/>
    <w:pPr>
      <w:widowControl/>
      <w:pBdr>
        <w:top w:val="single" w:sz="6" w:space="1" w:color="auto"/>
      </w:pBdr>
      <w:jc w:val="center"/>
    </w:pPr>
    <w:rPr>
      <w:rFonts w:ascii="Arial" w:hAnsi="Arial" w:cs="Arial"/>
      <w:vanish/>
      <w:kern w:val="0"/>
      <w:sz w:val="16"/>
      <w:szCs w:val="16"/>
    </w:rPr>
  </w:style>
  <w:style w:type="paragraph" w:customStyle="1" w:styleId="a15">
    <w:name w:val="正文样式"/>
    <w:basedOn w:val="Normal"/>
    <w:qFormat/>
    <w:pPr>
      <w:adjustRightInd w:val="0"/>
      <w:spacing w:line="400" w:lineRule="atLeast"/>
      <w:ind w:firstLine="570" w:firstLineChars="203"/>
      <w:textAlignment w:val="baseline"/>
    </w:pPr>
    <w:rPr>
      <w:rFonts w:eastAsia="仿宋_GB2312"/>
      <w:kern w:val="0"/>
      <w:sz w:val="28"/>
      <w:szCs w:val="20"/>
    </w:rPr>
  </w:style>
  <w:style w:type="paragraph" w:customStyle="1" w:styleId="xl34">
    <w:name w:val="xl34"/>
    <w:basedOn w:val="Normal"/>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16">
    <w:name w:val="段落正文"/>
    <w:basedOn w:val="PlainText"/>
    <w:qFormat/>
    <w:pPr>
      <w:ind w:firstLine="560" w:firstLineChars="200"/>
    </w:pPr>
    <w:rPr>
      <w:sz w:val="28"/>
    </w:rPr>
  </w:style>
  <w:style w:type="character" w:customStyle="1" w:styleId="gray6">
    <w:name w:val="gray6"/>
    <w:basedOn w:val="DefaultParagraphFont"/>
    <w:qFormat/>
  </w:style>
  <w:style w:type="character" w:customStyle="1" w:styleId="style9">
    <w:name w:val="style9"/>
    <w:basedOn w:val="DefaultParagraphFont"/>
    <w:qFormat/>
  </w:style>
  <w:style w:type="paragraph" w:customStyle="1" w:styleId="24">
    <w:name w:val="2册标题4"/>
    <w:basedOn w:val="Normal"/>
    <w:next w:val="Normal"/>
    <w:qFormat/>
    <w:pPr>
      <w:spacing w:beforeLines="50" w:afterLines="50" w:line="300" w:lineRule="auto"/>
      <w:ind w:left="420" w:leftChars="200"/>
      <w:outlineLvl w:val="3"/>
    </w:pPr>
    <w:rPr>
      <w:rFonts w:ascii="Arial" w:eastAsia="幼圆" w:hAnsi="Arial" w:cs="Arial"/>
      <w:b/>
      <w:sz w:val="24"/>
    </w:rPr>
  </w:style>
  <w:style w:type="character" w:customStyle="1" w:styleId="grame">
    <w:name w:val="grame"/>
    <w:basedOn w:val="DefaultParagraphFont"/>
    <w:qFormat/>
  </w:style>
  <w:style w:type="paragraph" w:customStyle="1" w:styleId="style2">
    <w:name w:val="style2"/>
    <w:basedOn w:val="Normal"/>
    <w:qFormat/>
    <w:pPr>
      <w:widowControl/>
      <w:spacing w:before="100" w:beforeAutospacing="1" w:after="100" w:afterAutospacing="1"/>
      <w:jc w:val="left"/>
    </w:pPr>
    <w:rPr>
      <w:rFonts w:ascii="宋体" w:hAnsi="宋体" w:cs="宋体"/>
      <w:kern w:val="0"/>
      <w:sz w:val="18"/>
      <w:szCs w:val="18"/>
    </w:rPr>
  </w:style>
  <w:style w:type="paragraph" w:customStyle="1" w:styleId="Char14">
    <w:name w:val="Char1"/>
    <w:basedOn w:val="Normal"/>
    <w:qFormat/>
    <w:pPr>
      <w:jc w:val="left"/>
    </w:pPr>
    <w:rPr>
      <w:rFonts w:ascii="Tahoma" w:hAnsi="Tahoma"/>
      <w:sz w:val="24"/>
      <w:szCs w:val="20"/>
    </w:rPr>
  </w:style>
  <w:style w:type="paragraph" w:customStyle="1" w:styleId="11">
    <w:name w:val="编号1"/>
    <w:basedOn w:val="Normal"/>
    <w:qFormat/>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qFormat/>
    <w:pPr>
      <w:widowControl/>
      <w:spacing w:line="400" w:lineRule="exact"/>
      <w:jc w:val="center"/>
    </w:pPr>
    <w:rPr>
      <w:rFonts w:ascii="Verdana" w:hAnsi="Verdana"/>
      <w:kern w:val="0"/>
      <w:szCs w:val="20"/>
      <w:lang w:eastAsia="en-US"/>
    </w:rPr>
  </w:style>
  <w:style w:type="paragraph" w:customStyle="1" w:styleId="font0">
    <w:name w:val="font0"/>
    <w:basedOn w:val="Normal"/>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Normal"/>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Normal"/>
    <w:qFormat/>
    <w:pPr>
      <w:widowControl/>
      <w:spacing w:before="100" w:beforeAutospacing="1" w:after="100" w:afterAutospacing="1"/>
      <w:jc w:val="left"/>
    </w:pPr>
    <w:rPr>
      <w:kern w:val="0"/>
      <w:sz w:val="24"/>
    </w:rPr>
  </w:style>
  <w:style w:type="paragraph" w:customStyle="1" w:styleId="xl24">
    <w:name w:val="xl2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17">
    <w:name w:val="表格字"/>
    <w:basedOn w:val="Normal"/>
    <w:qFormat/>
    <w:pPr>
      <w:adjustRightInd w:val="0"/>
      <w:jc w:val="center"/>
    </w:pPr>
    <w:rPr>
      <w:rFonts w:ascii="宋体"/>
      <w:sz w:val="24"/>
      <w:szCs w:val="20"/>
    </w:rPr>
  </w:style>
  <w:style w:type="character" w:customStyle="1" w:styleId="a18">
    <w:name w:val="样式 小三 加粗"/>
    <w:qFormat/>
    <w:rPr>
      <w:rFonts w:eastAsia="宋体"/>
      <w:b/>
      <w:bCs/>
      <w:sz w:val="32"/>
    </w:rPr>
  </w:style>
  <w:style w:type="paragraph" w:customStyle="1" w:styleId="xl28">
    <w:name w:val="xl2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lang w:val="en-US" w:eastAsia="zh-CN" w:bidi="ar-SA"/>
    </w:rPr>
  </w:style>
  <w:style w:type="paragraph" w:customStyle="1" w:styleId="CharCharChar">
    <w:name w:val="Char Char Char"/>
    <w:basedOn w:val="Normal"/>
    <w:qFormat/>
    <w:rPr>
      <w:rFonts w:ascii="Tahoma" w:hAnsi="Tahoma"/>
      <w:sz w:val="24"/>
      <w:szCs w:val="20"/>
    </w:rPr>
  </w:style>
  <w:style w:type="paragraph" w:customStyle="1" w:styleId="Char20">
    <w:name w:val="Char2"/>
    <w:basedOn w:val="Normal"/>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DefaultParagraphFont"/>
    <w:qFormat/>
  </w:style>
  <w:style w:type="paragraph" w:customStyle="1" w:styleId="a19">
    <w:name w:val="缩进正文"/>
    <w:basedOn w:val="Normal"/>
    <w:link w:val="Char15"/>
    <w:qFormat/>
    <w:pPr>
      <w:ind w:firstLine="560" w:firstLineChars="200"/>
    </w:pPr>
    <w:rPr>
      <w:rFonts w:eastAsia="仿宋_GB2312" w:cs="宋体"/>
      <w:sz w:val="28"/>
      <w:szCs w:val="20"/>
    </w:rPr>
  </w:style>
  <w:style w:type="character" w:customStyle="1" w:styleId="Char15">
    <w:name w:val="缩进正文 Char"/>
    <w:link w:val="a19"/>
    <w:qFormat/>
    <w:rPr>
      <w:rFonts w:eastAsia="仿宋_GB2312" w:cs="宋体"/>
      <w:kern w:val="2"/>
      <w:sz w:val="28"/>
      <w:lang w:val="en-US" w:eastAsia="zh-CN" w:bidi="ar-SA"/>
    </w:rPr>
  </w:style>
  <w:style w:type="paragraph" w:customStyle="1" w:styleId="12">
    <w:name w:val="列出段落1"/>
    <w:basedOn w:val="Normal"/>
    <w:qFormat/>
    <w:pPr>
      <w:ind w:firstLine="420" w:firstLineChars="200"/>
    </w:pPr>
    <w:rPr>
      <w:rFonts w:ascii="Calibri" w:hAnsi="Calibri" w:cs="Calibri"/>
      <w:szCs w:val="21"/>
    </w:rPr>
  </w:style>
  <w:style w:type="character" w:customStyle="1" w:styleId="Char16">
    <w:name w:val="批注文字 Char"/>
    <w:basedOn w:val="DefaultParagraphFont"/>
    <w:link w:val="CommentText"/>
    <w:qFormat/>
    <w:rPr>
      <w:rFonts w:ascii="宋体"/>
      <w:sz w:val="34"/>
    </w:rPr>
  </w:style>
  <w:style w:type="character" w:customStyle="1" w:styleId="Char17">
    <w:name w:val="批注主题 Char"/>
    <w:basedOn w:val="Char16"/>
    <w:link w:val="CommentSubject"/>
    <w:qFormat/>
    <w:rPr>
      <w:rFonts w:ascii="宋体"/>
      <w:sz w:val="34"/>
    </w:rPr>
  </w:style>
  <w:style w:type="paragraph" w:customStyle="1" w:styleId="a20">
    <w:name w:val="评价"/>
    <w:basedOn w:val="Normal"/>
    <w:qFormat/>
    <w:pPr>
      <w:spacing w:afterLines="20"/>
      <w:ind w:firstLine="1446" w:firstLineChars="200"/>
    </w:pPr>
    <w:rPr>
      <w:rFonts w:ascii="Calibri" w:hAnsi="Calibri"/>
      <w:sz w:val="24"/>
    </w:rPr>
  </w:style>
  <w:style w:type="paragraph" w:customStyle="1" w:styleId="13">
    <w:name w:val="修订1"/>
    <w:hidden/>
    <w:uiPriority w:val="99"/>
    <w:semiHidden/>
    <w:qFormat/>
    <w:rPr>
      <w:rFonts w:ascii="Times New Roman" w:eastAsia="宋体" w:hAnsi="Times New Roman" w:cs="Times New Roman"/>
      <w:kern w:val="2"/>
      <w:sz w:val="21"/>
      <w:szCs w:val="24"/>
      <w:lang w:val="en-US" w:eastAsia="zh-CN" w:bidi="ar-SA"/>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jpe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4680D7-798F-419B-9239-B70480A730B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67</Pages>
  <Words>48667</Words>
  <Characters>51309</Characters>
  <Application>Microsoft Office Word</Application>
  <DocSecurity>0</DocSecurity>
  <Lines>404</Lines>
  <Paragraphs>113</Paragraphs>
  <ScaleCrop>false</ScaleCrop>
  <Company>Microsoft</Company>
  <LinksUpToDate>false</LinksUpToDate>
  <CharactersWithSpaces>56351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王文乐</cp:lastModifiedBy>
  <cp:revision>93</cp:revision>
  <cp:lastPrinted>2018-11-06T09:21:00Z</cp:lastPrinted>
  <dcterms:created xsi:type="dcterms:W3CDTF">2019-10-30T01:24:00Z</dcterms:created>
  <dcterms:modified xsi:type="dcterms:W3CDTF">2022-12-26T03:15:27Z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AAF0FC784925400EBBA924B2E022912B</vt:lpwstr>
  </property>
  <property fmtid="{D5CDD505-2E9C-101B-9397-08002B2CF9AE}" pid="3" name="KSOProductBuildVer">
    <vt:lpwstr>2052-11.8.2.11718</vt:lpwstr>
  </property>
</Properties>
</file>