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0" w:lineRule="atLeast"/>
        <w:jc w:val="center"/>
        <w:outlineLvl w:val="0"/>
        <w:rPr>
          <w:rFonts w:hint="eastAsia" w:ascii="微软雅黑" w:hAnsi="微软雅黑" w:eastAsia="微软雅黑" w:cs="微软雅黑"/>
          <w:b/>
          <w:bCs w:val="0"/>
          <w:color w:val="auto"/>
          <w:sz w:val="32"/>
          <w:szCs w:val="32"/>
          <w:highlight w:val="none"/>
        </w:rPr>
      </w:pPr>
      <w:bookmarkStart w:id="0" w:name="_Toc24601"/>
      <w:r>
        <w:rPr>
          <w:rFonts w:hint="eastAsia" w:ascii="微软雅黑" w:hAnsi="微软雅黑" w:eastAsia="微软雅黑" w:cs="微软雅黑"/>
          <w:b/>
          <w:bCs w:val="0"/>
          <w:color w:val="auto"/>
          <w:sz w:val="32"/>
          <w:szCs w:val="32"/>
          <w:highlight w:val="none"/>
        </w:rPr>
        <w:t>第四章  需求及技术规格</w:t>
      </w:r>
      <w:bookmarkEnd w:id="0"/>
    </w:p>
    <w:p>
      <w:pPr>
        <w:keepNext w:val="0"/>
        <w:keepLines w:val="0"/>
        <w:pageBreakBefore w:val="0"/>
        <w:widowControl w:val="0"/>
        <w:kinsoku/>
        <w:wordWrap/>
        <w:overflowPunct/>
        <w:topLinePunct w:val="0"/>
        <w:bidi w:val="0"/>
        <w:snapToGrid/>
        <w:spacing w:line="340" w:lineRule="exact"/>
        <w:ind w:left="-71" w:firstLine="447" w:firstLineChars="212"/>
        <w:rPr>
          <w:rFonts w:ascii="宋体" w:hAnsi="宋体"/>
          <w:b/>
          <w:bCs/>
          <w:color w:val="auto"/>
          <w:szCs w:val="21"/>
          <w:highlight w:val="none"/>
        </w:rPr>
      </w:pPr>
    </w:p>
    <w:p>
      <w:pPr>
        <w:keepNext w:val="0"/>
        <w:keepLines w:val="0"/>
        <w:pageBreakBefore w:val="0"/>
        <w:widowControl w:val="0"/>
        <w:kinsoku/>
        <w:wordWrap/>
        <w:overflowPunct/>
        <w:topLinePunct w:val="0"/>
        <w:bidi w:val="0"/>
        <w:snapToGrid/>
        <w:jc w:val="center"/>
        <w:outlineLvl w:val="1"/>
        <w:rPr>
          <w:rFonts w:hint="eastAsia" w:ascii="微软雅黑" w:hAnsi="微软雅黑" w:eastAsia="微软雅黑" w:cs="微软雅黑"/>
          <w:b/>
          <w:bCs w:val="0"/>
          <w:color w:val="auto"/>
          <w:sz w:val="24"/>
          <w:szCs w:val="24"/>
          <w:highlight w:val="none"/>
        </w:rPr>
      </w:pPr>
      <w:bookmarkStart w:id="1" w:name="_Toc352"/>
      <w:r>
        <w:rPr>
          <w:rFonts w:hint="eastAsia" w:ascii="微软雅黑" w:hAnsi="微软雅黑" w:eastAsia="微软雅黑" w:cs="微软雅黑"/>
          <w:b/>
          <w:bCs w:val="0"/>
          <w:color w:val="auto"/>
          <w:sz w:val="24"/>
          <w:szCs w:val="24"/>
          <w:highlight w:val="none"/>
        </w:rPr>
        <w:t>第一节  说明</w:t>
      </w:r>
      <w:bookmarkEnd w:id="1"/>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b/>
          <w:bCs/>
          <w:color w:val="auto"/>
          <w:szCs w:val="21"/>
          <w:highlight w:val="none"/>
        </w:rPr>
      </w:pPr>
      <w:r>
        <w:rPr>
          <w:rFonts w:hint="eastAsia" w:ascii="宋体" w:hAnsi="宋体"/>
          <w:color w:val="auto"/>
          <w:szCs w:val="21"/>
          <w:highlight w:val="none"/>
        </w:rPr>
        <w:t>1、投标人必须对本招标文件所列的所有采购内容进行投标，不得将项目中的内容拆开投标，如果项目有分包的，投标人也可以只对其中一个或几个分包进行投标，但不得将一个包中的内容拆开投标，否则将导致其投标被拒绝。投标人须认真填写第五章的偏离表，偏离表将作为重要的评标依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22" w:firstLineChars="200"/>
        <w:jc w:val="left"/>
        <w:textAlignment w:val="auto"/>
        <w:rPr>
          <w:rFonts w:hint="default" w:ascii="Times New Roman" w:hAnsi="Times New Roman" w:cs="Times New Roman"/>
          <w:b/>
          <w:color w:val="auto"/>
          <w:szCs w:val="20"/>
          <w:highlight w:val="none"/>
        </w:rPr>
      </w:pPr>
      <w:r>
        <w:rPr>
          <w:rFonts w:hint="eastAsia" w:ascii="Times New Roman" w:hAnsi="Times New Roman" w:cs="Times New Roman"/>
          <w:b/>
          <w:color w:val="auto"/>
          <w:szCs w:val="20"/>
          <w:highlight w:val="none"/>
        </w:rPr>
        <w:t>重点说明：偏离表中“偏离度”由投标人自行判断后填写，内容仅供评委参考，</w:t>
      </w:r>
      <w:r>
        <w:rPr>
          <w:rFonts w:hint="default" w:ascii="Times New Roman" w:hAnsi="Times New Roman" w:cs="Times New Roman"/>
          <w:b/>
          <w:color w:val="auto"/>
          <w:szCs w:val="20"/>
          <w:highlight w:val="none"/>
        </w:rPr>
        <w:t>评标委员会将根据</w:t>
      </w:r>
      <w:r>
        <w:rPr>
          <w:rFonts w:hint="eastAsia" w:ascii="Times New Roman" w:hAnsi="Times New Roman" w:cs="Times New Roman"/>
          <w:b/>
          <w:color w:val="auto"/>
          <w:szCs w:val="20"/>
          <w:highlight w:val="none"/>
        </w:rPr>
        <w:t>具体响应内容</w:t>
      </w:r>
      <w:r>
        <w:rPr>
          <w:rFonts w:hint="default" w:ascii="Times New Roman" w:hAnsi="Times New Roman" w:cs="Times New Roman"/>
          <w:b/>
          <w:color w:val="auto"/>
          <w:szCs w:val="20"/>
          <w:highlight w:val="none"/>
        </w:rPr>
        <w:t>给予是否偏离的认定，并以此</w:t>
      </w:r>
      <w:r>
        <w:rPr>
          <w:rFonts w:hint="eastAsia" w:ascii="Times New Roman" w:hAnsi="Times New Roman" w:cs="Times New Roman"/>
          <w:b/>
          <w:color w:val="auto"/>
          <w:szCs w:val="20"/>
          <w:highlight w:val="none"/>
        </w:rPr>
        <w:t>作为</w:t>
      </w:r>
      <w:r>
        <w:rPr>
          <w:rFonts w:hint="default" w:ascii="Times New Roman" w:hAnsi="Times New Roman" w:cs="Times New Roman"/>
          <w:b/>
          <w:color w:val="auto"/>
          <w:szCs w:val="20"/>
          <w:highlight w:val="none"/>
        </w:rPr>
        <w:t>最终评判</w:t>
      </w:r>
      <w:r>
        <w:rPr>
          <w:rFonts w:hint="eastAsia" w:ascii="Times New Roman" w:hAnsi="Times New Roman" w:cs="Times New Roman"/>
          <w:b/>
          <w:color w:val="auto"/>
          <w:szCs w:val="20"/>
          <w:highlight w:val="none"/>
        </w:rPr>
        <w:t>。需求中要求提供证书、检测报告、承诺函或其他证明文件的，如投标人未按要求提供或提供的文件无法证明对应事项的，该项要求的响应偏离度评委会有权认定为“负偏离”，若该项要求为不可偏离项或实质性要求，做无效标处理；若该项要求非不可偏离项，则按评分标准做相应扣分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22" w:firstLineChars="200"/>
        <w:jc w:val="left"/>
        <w:textAlignment w:val="auto"/>
        <w:rPr>
          <w:rFonts w:hint="default" w:ascii="Times New Roman" w:hAnsi="Times New Roman" w:cs="Times New Roman"/>
          <w:b/>
          <w:color w:val="auto"/>
          <w:szCs w:val="20"/>
          <w:highlight w:val="none"/>
        </w:rPr>
      </w:pPr>
      <w:r>
        <w:rPr>
          <w:rFonts w:hint="eastAsia" w:ascii="Times New Roman" w:hAnsi="Times New Roman" w:cs="Times New Roman"/>
          <w:b/>
          <w:color w:val="auto"/>
          <w:szCs w:val="20"/>
          <w:highlight w:val="none"/>
        </w:rPr>
        <w:t>2、</w:t>
      </w:r>
      <w:r>
        <w:rPr>
          <w:rFonts w:hint="default" w:ascii="Times New Roman" w:hAnsi="Times New Roman" w:cs="Times New Roman"/>
          <w:b/>
          <w:color w:val="auto"/>
          <w:szCs w:val="20"/>
          <w:highlight w:val="none"/>
        </w:rPr>
        <w:t>本招标文件要求中，凡标有</w:t>
      </w:r>
      <w:r>
        <w:rPr>
          <w:rFonts w:hint="eastAsia" w:ascii="Times New Roman" w:hAnsi="Times New Roman" w:cs="Times New Roman"/>
          <w:b/>
          <w:color w:val="auto"/>
          <w:szCs w:val="20"/>
          <w:highlight w:val="none"/>
        </w:rPr>
        <w:t>“★”</w:t>
      </w:r>
      <w:r>
        <w:rPr>
          <w:rFonts w:hint="default" w:ascii="Times New Roman" w:hAnsi="Times New Roman" w:cs="Times New Roman"/>
          <w:b/>
          <w:color w:val="auto"/>
          <w:szCs w:val="20"/>
          <w:highlight w:val="none"/>
        </w:rPr>
        <w:t>的地方均被视为</w:t>
      </w:r>
      <w:r>
        <w:rPr>
          <w:rFonts w:hint="eastAsia" w:ascii="Times New Roman" w:hAnsi="Times New Roman" w:cs="Times New Roman"/>
          <w:b/>
          <w:color w:val="auto"/>
          <w:szCs w:val="20"/>
          <w:highlight w:val="none"/>
        </w:rPr>
        <w:t>不可偏离条款，</w:t>
      </w:r>
      <w:r>
        <w:rPr>
          <w:rFonts w:hint="default" w:ascii="Times New Roman" w:hAnsi="Times New Roman" w:cs="Times New Roman"/>
          <w:b/>
          <w:color w:val="auto"/>
          <w:szCs w:val="20"/>
          <w:highlight w:val="none"/>
        </w:rPr>
        <w:t>投标人要特别加以注意</w:t>
      </w:r>
      <w:r>
        <w:rPr>
          <w:rFonts w:hint="eastAsia" w:ascii="Times New Roman" w:hAnsi="Times New Roman" w:cs="Times New Roman"/>
          <w:b/>
          <w:color w:val="auto"/>
          <w:szCs w:val="20"/>
          <w:highlight w:val="none"/>
        </w:rPr>
        <w:t>并予以响应，</w:t>
      </w:r>
      <w:r>
        <w:rPr>
          <w:rFonts w:hint="default" w:ascii="Times New Roman" w:hAnsi="Times New Roman" w:cs="Times New Roman"/>
          <w:b/>
          <w:color w:val="auto"/>
          <w:szCs w:val="20"/>
          <w:highlight w:val="none"/>
        </w:rPr>
        <w:t>否则，若有一项带</w:t>
      </w:r>
      <w:r>
        <w:rPr>
          <w:rFonts w:hint="eastAsia" w:ascii="Times New Roman" w:hAnsi="Times New Roman" w:cs="Times New Roman"/>
          <w:b/>
          <w:color w:val="auto"/>
          <w:szCs w:val="20"/>
          <w:highlight w:val="none"/>
        </w:rPr>
        <w:t>“★”</w:t>
      </w:r>
      <w:r>
        <w:rPr>
          <w:rFonts w:hint="default" w:ascii="Times New Roman" w:hAnsi="Times New Roman" w:cs="Times New Roman"/>
          <w:b/>
          <w:color w:val="auto"/>
          <w:szCs w:val="20"/>
          <w:highlight w:val="none"/>
        </w:rPr>
        <w:t>的</w:t>
      </w:r>
      <w:r>
        <w:rPr>
          <w:rFonts w:hint="eastAsia" w:ascii="Times New Roman" w:hAnsi="Times New Roman" w:cs="Times New Roman"/>
          <w:b/>
          <w:color w:val="auto"/>
          <w:szCs w:val="20"/>
          <w:highlight w:val="none"/>
        </w:rPr>
        <w:t>要求</w:t>
      </w:r>
      <w:r>
        <w:rPr>
          <w:rFonts w:hint="default" w:ascii="Times New Roman" w:hAnsi="Times New Roman" w:cs="Times New Roman"/>
          <w:b/>
          <w:color w:val="auto"/>
          <w:szCs w:val="20"/>
          <w:highlight w:val="none"/>
        </w:rPr>
        <w:t>未响应或不满足，将按投标无效处理</w:t>
      </w:r>
      <w:r>
        <w:rPr>
          <w:rFonts w:hint="eastAsia" w:ascii="Times New Roman" w:hAnsi="Times New Roman" w:cs="Times New Roman"/>
          <w:b/>
          <w:color w:val="auto"/>
          <w:szCs w:val="20"/>
          <w:highlight w:val="none"/>
        </w:rPr>
        <w:t>；</w:t>
      </w:r>
      <w:r>
        <w:rPr>
          <w:rFonts w:hint="default" w:ascii="Times New Roman" w:hAnsi="Times New Roman" w:cs="Times New Roman"/>
          <w:b/>
          <w:color w:val="auto"/>
          <w:szCs w:val="20"/>
          <w:highlight w:val="none"/>
        </w:rPr>
        <w:t>凡标有</w:t>
      </w:r>
      <w:r>
        <w:rPr>
          <w:rFonts w:hint="eastAsia" w:ascii="Times New Roman" w:hAnsi="Times New Roman" w:cs="Times New Roman"/>
          <w:b/>
          <w:color w:val="auto"/>
          <w:szCs w:val="20"/>
          <w:highlight w:val="none"/>
        </w:rPr>
        <w:t xml:space="preserve"> “▲”</w:t>
      </w:r>
      <w:r>
        <w:rPr>
          <w:rFonts w:hint="default" w:ascii="Times New Roman" w:hAnsi="Times New Roman" w:cs="Times New Roman"/>
          <w:b/>
          <w:color w:val="auto"/>
          <w:szCs w:val="20"/>
          <w:highlight w:val="none"/>
        </w:rPr>
        <w:t>的地方均被视为重要要求</w:t>
      </w:r>
      <w:r>
        <w:rPr>
          <w:rFonts w:hint="eastAsia" w:ascii="Times New Roman" w:hAnsi="Times New Roman" w:cs="Times New Roman"/>
          <w:b/>
          <w:color w:val="auto"/>
          <w:szCs w:val="20"/>
          <w:highlight w:val="none"/>
        </w:rPr>
        <w:t>，若有带“▲”的要求未响应或不满足的，将按加重扣分处理</w:t>
      </w:r>
      <w:r>
        <w:rPr>
          <w:rFonts w:hint="default" w:ascii="Times New Roman" w:hAnsi="Times New Roman" w:cs="Times New Roman"/>
          <w:b/>
          <w:color w:val="auto"/>
          <w:szCs w:val="20"/>
          <w:highlight w:val="none"/>
        </w:rPr>
        <w:t>。</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bCs/>
          <w:color w:val="auto"/>
          <w:szCs w:val="21"/>
          <w:highlight w:val="none"/>
        </w:rPr>
      </w:pPr>
    </w:p>
    <w:p>
      <w:pPr>
        <w:keepNext w:val="0"/>
        <w:keepLines w:val="0"/>
        <w:pageBreakBefore w:val="0"/>
        <w:widowControl w:val="0"/>
        <w:kinsoku/>
        <w:wordWrap/>
        <w:overflowPunct/>
        <w:topLinePunct w:val="0"/>
        <w:bidi w:val="0"/>
        <w:snapToGrid/>
        <w:jc w:val="center"/>
        <w:outlineLvl w:val="1"/>
        <w:rPr>
          <w:rFonts w:hint="eastAsia" w:ascii="微软雅黑" w:hAnsi="微软雅黑" w:eastAsia="微软雅黑" w:cs="微软雅黑"/>
          <w:b/>
          <w:bCs w:val="0"/>
          <w:color w:val="auto"/>
          <w:sz w:val="24"/>
          <w:szCs w:val="24"/>
          <w:highlight w:val="none"/>
        </w:rPr>
      </w:pPr>
      <w:bookmarkStart w:id="2" w:name="_Toc7252"/>
      <w:r>
        <w:rPr>
          <w:rFonts w:hint="eastAsia" w:ascii="微软雅黑" w:hAnsi="微软雅黑" w:eastAsia="微软雅黑" w:cs="微软雅黑"/>
          <w:b/>
          <w:bCs w:val="0"/>
          <w:color w:val="auto"/>
          <w:sz w:val="24"/>
          <w:szCs w:val="24"/>
          <w:highlight w:val="none"/>
        </w:rPr>
        <w:t>第二节  需求一览表</w:t>
      </w:r>
      <w:bookmarkEnd w:id="2"/>
    </w:p>
    <w:tbl>
      <w:tblPr>
        <w:tblStyle w:val="4"/>
        <w:tblW w:w="92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4520"/>
        <w:gridCol w:w="922"/>
        <w:gridCol w:w="1073"/>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0" w:type="dxa"/>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ind w:left="0" w:right="0"/>
              <w:jc w:val="center"/>
              <w:rPr>
                <w:rFonts w:hint="default"/>
                <w:b/>
                <w:color w:val="auto"/>
                <w:szCs w:val="20"/>
                <w:highlight w:val="none"/>
              </w:rPr>
            </w:pPr>
            <w:r>
              <w:rPr>
                <w:rFonts w:hint="default"/>
                <w:b/>
                <w:color w:val="auto"/>
                <w:szCs w:val="20"/>
                <w:highlight w:val="none"/>
              </w:rPr>
              <w:t>序号</w:t>
            </w:r>
          </w:p>
        </w:tc>
        <w:tc>
          <w:tcPr>
            <w:tcW w:w="4520" w:type="dxa"/>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ind w:left="0" w:right="0"/>
              <w:jc w:val="center"/>
              <w:rPr>
                <w:rFonts w:hint="default"/>
                <w:b/>
                <w:color w:val="auto"/>
                <w:szCs w:val="20"/>
                <w:highlight w:val="none"/>
              </w:rPr>
            </w:pPr>
            <w:r>
              <w:rPr>
                <w:rFonts w:hint="default"/>
                <w:b/>
                <w:color w:val="auto"/>
                <w:szCs w:val="20"/>
                <w:highlight w:val="none"/>
              </w:rPr>
              <w:t>服务名称</w:t>
            </w:r>
          </w:p>
        </w:tc>
        <w:tc>
          <w:tcPr>
            <w:tcW w:w="922" w:type="dxa"/>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ind w:left="0" w:right="0"/>
              <w:jc w:val="center"/>
              <w:rPr>
                <w:rFonts w:hint="default"/>
                <w:b/>
                <w:color w:val="auto"/>
                <w:szCs w:val="20"/>
                <w:highlight w:val="none"/>
              </w:rPr>
            </w:pPr>
            <w:r>
              <w:rPr>
                <w:rFonts w:hint="default"/>
                <w:b/>
                <w:color w:val="auto"/>
                <w:szCs w:val="20"/>
                <w:highlight w:val="none"/>
              </w:rPr>
              <w:t>数量</w:t>
            </w:r>
          </w:p>
        </w:tc>
        <w:tc>
          <w:tcPr>
            <w:tcW w:w="1073" w:type="dxa"/>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ind w:left="0" w:right="0"/>
              <w:jc w:val="center"/>
              <w:rPr>
                <w:rFonts w:hint="default"/>
                <w:b/>
                <w:color w:val="auto"/>
                <w:szCs w:val="20"/>
                <w:highlight w:val="none"/>
              </w:rPr>
            </w:pPr>
            <w:r>
              <w:rPr>
                <w:rFonts w:hint="default"/>
                <w:b/>
                <w:color w:val="auto"/>
                <w:szCs w:val="20"/>
                <w:highlight w:val="none"/>
              </w:rPr>
              <w:t>单位</w:t>
            </w:r>
          </w:p>
        </w:tc>
        <w:tc>
          <w:tcPr>
            <w:tcW w:w="1900" w:type="dxa"/>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ind w:left="0" w:right="0"/>
              <w:jc w:val="center"/>
              <w:rPr>
                <w:rFonts w:hint="default" w:ascii="宋体" w:hAnsi="宋体"/>
                <w:b/>
                <w:color w:val="auto"/>
                <w:szCs w:val="20"/>
                <w:highlight w:val="none"/>
              </w:rPr>
            </w:pPr>
            <w:r>
              <w:rPr>
                <w:rFonts w:hint="eastAsia" w:ascii="Times New Roman" w:hAnsi="Times New Roman" w:cs="Times New Roman"/>
                <w:b/>
                <w:color w:val="auto"/>
                <w:szCs w:val="20"/>
                <w:highlight w:val="none"/>
              </w:rPr>
              <w:t>预算控制金额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0" w:type="dxa"/>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ind w:left="0" w:right="0"/>
              <w:jc w:val="center"/>
              <w:rPr>
                <w:rFonts w:hint="default" w:ascii="宋体" w:hAnsi="宋体"/>
                <w:color w:val="auto"/>
                <w:szCs w:val="20"/>
                <w:highlight w:val="none"/>
              </w:rPr>
            </w:pPr>
            <w:r>
              <w:rPr>
                <w:rFonts w:hint="default" w:ascii="宋体" w:hAnsi="宋体"/>
                <w:color w:val="auto"/>
                <w:szCs w:val="20"/>
                <w:highlight w:val="none"/>
              </w:rPr>
              <w:t>1</w:t>
            </w:r>
          </w:p>
        </w:tc>
        <w:tc>
          <w:tcPr>
            <w:tcW w:w="4520" w:type="dxa"/>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ind w:left="0" w:right="0"/>
              <w:rPr>
                <w:rFonts w:hint="default" w:ascii="宋体" w:hAnsi="宋体"/>
                <w:color w:val="auto"/>
                <w:szCs w:val="20"/>
                <w:highlight w:val="none"/>
              </w:rPr>
            </w:pPr>
            <w:r>
              <w:rPr>
                <w:rFonts w:hint="default" w:ascii="宋体" w:hAnsi="宋体"/>
                <w:color w:val="auto"/>
                <w:szCs w:val="20"/>
                <w:highlight w:val="none"/>
              </w:rPr>
              <w:t>2022年度深圳市残疾人联合会信息化运维服务项目</w:t>
            </w:r>
          </w:p>
        </w:tc>
        <w:tc>
          <w:tcPr>
            <w:tcW w:w="922" w:type="dxa"/>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ind w:left="0" w:right="0"/>
              <w:jc w:val="center"/>
              <w:rPr>
                <w:rFonts w:hint="default" w:ascii="宋体" w:hAnsi="宋体"/>
                <w:color w:val="auto"/>
                <w:szCs w:val="20"/>
                <w:highlight w:val="none"/>
              </w:rPr>
            </w:pPr>
            <w:r>
              <w:rPr>
                <w:rFonts w:hint="default" w:ascii="宋体" w:hAnsi="宋体"/>
                <w:color w:val="auto"/>
                <w:szCs w:val="20"/>
                <w:highlight w:val="none"/>
              </w:rPr>
              <w:t>1</w:t>
            </w:r>
          </w:p>
        </w:tc>
        <w:tc>
          <w:tcPr>
            <w:tcW w:w="1073" w:type="dxa"/>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ind w:left="0" w:right="0"/>
              <w:jc w:val="center"/>
              <w:rPr>
                <w:rFonts w:hint="default" w:ascii="宋体" w:hAnsi="宋体"/>
                <w:color w:val="auto"/>
                <w:szCs w:val="20"/>
                <w:highlight w:val="none"/>
              </w:rPr>
            </w:pPr>
            <w:r>
              <w:rPr>
                <w:rFonts w:hint="default" w:ascii="宋体" w:hAnsi="宋体"/>
                <w:color w:val="auto"/>
                <w:szCs w:val="20"/>
                <w:highlight w:val="none"/>
              </w:rPr>
              <w:t>项</w:t>
            </w:r>
          </w:p>
        </w:tc>
        <w:tc>
          <w:tcPr>
            <w:tcW w:w="1900" w:type="dxa"/>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ind w:left="0" w:right="0"/>
              <w:jc w:val="center"/>
              <w:rPr>
                <w:rFonts w:hint="default" w:ascii="宋体" w:hAnsi="宋体"/>
                <w:color w:val="auto"/>
                <w:szCs w:val="20"/>
                <w:highlight w:val="none"/>
              </w:rPr>
            </w:pPr>
            <w:r>
              <w:rPr>
                <w:rFonts w:hint="eastAsia"/>
                <w:color w:val="auto"/>
                <w:szCs w:val="21"/>
                <w:highlight w:val="none"/>
                <w:lang w:val="en-US" w:eastAsia="zh-CN"/>
              </w:rPr>
              <w:t>22</w:t>
            </w:r>
            <w:r>
              <w:rPr>
                <w:rFonts w:hint="eastAsia"/>
                <w:color w:val="auto"/>
                <w:szCs w:val="21"/>
                <w:highlight w:val="none"/>
              </w:rPr>
              <w:t>万元</w:t>
            </w:r>
          </w:p>
        </w:tc>
      </w:tr>
    </w:tbl>
    <w:p>
      <w:pPr>
        <w:keepNext w:val="0"/>
        <w:keepLines w:val="0"/>
        <w:pageBreakBefore w:val="0"/>
        <w:widowControl w:val="0"/>
        <w:kinsoku/>
        <w:wordWrap/>
        <w:overflowPunct/>
        <w:topLinePunct w:val="0"/>
        <w:bidi w:val="0"/>
        <w:snapToGrid/>
        <w:spacing w:line="340" w:lineRule="exact"/>
        <w:ind w:firstLine="422" w:firstLineChars="200"/>
        <w:rPr>
          <w:rFonts w:ascii="宋体" w:hAnsi="宋体"/>
          <w:b/>
          <w:bCs/>
          <w:color w:val="auto"/>
          <w:szCs w:val="21"/>
          <w:highlight w:val="none"/>
        </w:rPr>
      </w:pPr>
    </w:p>
    <w:p>
      <w:pPr>
        <w:keepNext w:val="0"/>
        <w:keepLines w:val="0"/>
        <w:pageBreakBefore w:val="0"/>
        <w:widowControl w:val="0"/>
        <w:kinsoku/>
        <w:wordWrap/>
        <w:overflowPunct/>
        <w:topLinePunct w:val="0"/>
        <w:bidi w:val="0"/>
        <w:snapToGrid/>
        <w:jc w:val="center"/>
        <w:outlineLvl w:val="1"/>
        <w:rPr>
          <w:rFonts w:hint="eastAsia" w:ascii="微软雅黑" w:hAnsi="微软雅黑" w:eastAsia="微软雅黑" w:cs="微软雅黑"/>
          <w:b/>
          <w:bCs w:val="0"/>
          <w:color w:val="auto"/>
          <w:sz w:val="24"/>
          <w:szCs w:val="24"/>
          <w:highlight w:val="none"/>
        </w:rPr>
      </w:pPr>
      <w:bookmarkStart w:id="3" w:name="_Toc24460"/>
      <w:r>
        <w:rPr>
          <w:rFonts w:hint="eastAsia" w:ascii="微软雅黑" w:hAnsi="微软雅黑" w:eastAsia="微软雅黑" w:cs="微软雅黑"/>
          <w:b/>
          <w:bCs w:val="0"/>
          <w:color w:val="auto"/>
          <w:sz w:val="24"/>
          <w:szCs w:val="24"/>
          <w:highlight w:val="none"/>
        </w:rPr>
        <w:t>第三节  技术需求明细</w:t>
      </w:r>
      <w:bookmarkEnd w:id="3"/>
    </w:p>
    <w:p>
      <w:pPr>
        <w:keepNext w:val="0"/>
        <w:keepLines w:val="0"/>
        <w:pageBreakBefore w:val="0"/>
        <w:widowControl/>
        <w:kinsoku/>
        <w:wordWrap/>
        <w:overflowPunct/>
        <w:topLinePunct w:val="0"/>
        <w:autoSpaceDE/>
        <w:autoSpaceDN/>
        <w:bidi w:val="0"/>
        <w:adjustRightInd/>
        <w:snapToGrid/>
        <w:spacing w:line="440" w:lineRule="exact"/>
        <w:ind w:left="0" w:firstLine="422" w:firstLineChars="200"/>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一、项目概况</w:t>
      </w:r>
    </w:p>
    <w:p>
      <w:pPr>
        <w:keepNext w:val="0"/>
        <w:keepLines w:val="0"/>
        <w:pageBreakBefore w:val="0"/>
        <w:widowControl/>
        <w:kinsoku/>
        <w:wordWrap/>
        <w:overflowPunct/>
        <w:topLinePunct w:val="0"/>
        <w:autoSpaceDE/>
        <w:autoSpaceDN/>
        <w:bidi w:val="0"/>
        <w:adjustRightInd/>
        <w:snapToGrid/>
        <w:spacing w:line="440" w:lineRule="exact"/>
        <w:ind w:left="0" w:firstLine="420" w:firstLineChars="200"/>
        <w:textAlignment w:val="auto"/>
        <w:outlineLvl w:val="9"/>
        <w:rPr>
          <w:rFonts w:hint="eastAsia" w:ascii="宋体" w:hAnsi="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根据《中华人民共和国网络安全法》及</w:t>
      </w:r>
      <w:r>
        <w:rPr>
          <w:rFonts w:hint="eastAsia" w:ascii="宋体" w:hAnsi="宋体" w:cs="宋体"/>
          <w:b w:val="0"/>
          <w:bCs w:val="0"/>
          <w:color w:val="auto"/>
          <w:sz w:val="21"/>
          <w:szCs w:val="21"/>
          <w:highlight w:val="none"/>
          <w:lang w:eastAsia="zh-CN"/>
        </w:rPr>
        <w:t>深圳</w:t>
      </w:r>
      <w:r>
        <w:rPr>
          <w:rFonts w:hint="eastAsia" w:ascii="宋体" w:hAnsi="宋体" w:eastAsia="宋体" w:cs="宋体"/>
          <w:b w:val="0"/>
          <w:bCs w:val="0"/>
          <w:color w:val="auto"/>
          <w:sz w:val="21"/>
          <w:szCs w:val="21"/>
          <w:highlight w:val="none"/>
          <w:lang w:eastAsia="zh-CN"/>
        </w:rPr>
        <w:t>市2021年网络安全重点任务的有关要求，为保障</w:t>
      </w:r>
      <w:r>
        <w:rPr>
          <w:rFonts w:hint="eastAsia" w:ascii="宋体" w:hAnsi="宋体" w:cs="宋体"/>
          <w:b w:val="0"/>
          <w:bCs w:val="0"/>
          <w:color w:val="auto"/>
          <w:sz w:val="21"/>
          <w:szCs w:val="21"/>
          <w:highlight w:val="none"/>
          <w:lang w:eastAsia="zh-CN"/>
        </w:rPr>
        <w:t>采购单位</w:t>
      </w:r>
      <w:r>
        <w:rPr>
          <w:rFonts w:hint="eastAsia" w:ascii="宋体" w:hAnsi="宋体" w:eastAsia="宋体" w:cs="宋体"/>
          <w:b w:val="0"/>
          <w:bCs w:val="0"/>
          <w:color w:val="auto"/>
          <w:sz w:val="21"/>
          <w:szCs w:val="21"/>
          <w:highlight w:val="none"/>
          <w:lang w:eastAsia="zh-CN"/>
        </w:rPr>
        <w:t>网络信息安全，确保</w:t>
      </w:r>
      <w:r>
        <w:rPr>
          <w:rFonts w:hint="eastAsia" w:ascii="宋体" w:hAnsi="宋体" w:cs="宋体"/>
          <w:b w:val="0"/>
          <w:bCs w:val="0"/>
          <w:color w:val="auto"/>
          <w:sz w:val="21"/>
          <w:szCs w:val="21"/>
          <w:highlight w:val="none"/>
          <w:lang w:eastAsia="zh-CN"/>
        </w:rPr>
        <w:t>采购单位</w:t>
      </w:r>
      <w:r>
        <w:rPr>
          <w:rFonts w:hint="eastAsia" w:ascii="宋体" w:hAnsi="宋体" w:eastAsia="宋体" w:cs="宋体"/>
          <w:b w:val="0"/>
          <w:bCs w:val="0"/>
          <w:color w:val="auto"/>
          <w:sz w:val="21"/>
          <w:szCs w:val="21"/>
          <w:highlight w:val="none"/>
          <w:lang w:eastAsia="zh-CN"/>
        </w:rPr>
        <w:t>IT设备、上网行为管理设备的正常运行，切实营造安全稳定的信息化办公环境，</w:t>
      </w:r>
      <w:r>
        <w:rPr>
          <w:rFonts w:hint="eastAsia" w:ascii="宋体" w:hAnsi="宋体" w:cs="宋体"/>
          <w:b w:val="0"/>
          <w:bCs w:val="0"/>
          <w:color w:val="auto"/>
          <w:sz w:val="21"/>
          <w:szCs w:val="21"/>
          <w:highlight w:val="none"/>
          <w:lang w:eastAsia="zh-CN"/>
        </w:rPr>
        <w:t>采购单位</w:t>
      </w:r>
      <w:r>
        <w:rPr>
          <w:rFonts w:hint="eastAsia" w:ascii="宋体" w:hAnsi="宋体" w:eastAsia="宋体" w:cs="宋体"/>
          <w:b w:val="0"/>
          <w:bCs w:val="0"/>
          <w:color w:val="auto"/>
          <w:sz w:val="21"/>
          <w:szCs w:val="21"/>
          <w:highlight w:val="none"/>
          <w:lang w:eastAsia="zh-CN"/>
        </w:rPr>
        <w:t>决定向有资质的机构购买2022年度深圳市残疾人联合会信息化运维服务</w:t>
      </w:r>
      <w:r>
        <w:rPr>
          <w:rFonts w:hint="eastAsia" w:ascii="宋体" w:hAnsi="宋体" w:cs="宋体"/>
          <w:b w:val="0"/>
          <w:bCs w:val="0"/>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spacing w:line="440" w:lineRule="exact"/>
        <w:ind w:left="0" w:leftChars="0" w:firstLine="422" w:firstLineChars="20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二、</w:t>
      </w:r>
      <w:r>
        <w:rPr>
          <w:rFonts w:hint="eastAsia" w:ascii="宋体" w:hAnsi="宋体" w:cs="宋体"/>
          <w:b/>
          <w:bCs/>
          <w:color w:val="auto"/>
          <w:kern w:val="2"/>
          <w:sz w:val="21"/>
          <w:szCs w:val="21"/>
          <w:highlight w:val="none"/>
          <w:lang w:val="en-US" w:eastAsia="zh-CN" w:bidi="ar-SA"/>
        </w:rPr>
        <w:t>具体技术要求</w:t>
      </w:r>
    </w:p>
    <w:p>
      <w:pPr>
        <w:keepNext w:val="0"/>
        <w:keepLines w:val="0"/>
        <w:pageBreakBefore w:val="0"/>
        <w:kinsoku/>
        <w:wordWrap/>
        <w:overflowPunct/>
        <w:topLinePunct w:val="0"/>
        <w:autoSpaceDE/>
        <w:autoSpaceDN/>
        <w:bidi w:val="0"/>
        <w:adjustRightInd/>
        <w:snapToGrid/>
        <w:spacing w:line="440" w:lineRule="exact"/>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（一）2022年度信息安全维护服务</w:t>
      </w:r>
    </w:p>
    <w:p>
      <w:pPr>
        <w:keepNext w:val="0"/>
        <w:keepLines w:val="0"/>
        <w:pageBreakBefore w:val="0"/>
        <w:kinsoku/>
        <w:wordWrap/>
        <w:overflowPunct/>
        <w:topLinePunct w:val="0"/>
        <w:autoSpaceDE/>
        <w:autoSpaceDN/>
        <w:bidi w:val="0"/>
        <w:adjustRightInd/>
        <w:snapToGrid/>
        <w:spacing w:line="440" w:lineRule="exact"/>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服务内容</w:t>
      </w:r>
    </w:p>
    <w:p>
      <w:pPr>
        <w:keepNext w:val="0"/>
        <w:keepLines w:val="0"/>
        <w:pageBreakBefore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实施202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年度内（202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年1月1日至202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月3</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日）的信息安全维护服务，协助市残联开展202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年度内的信息安全检查工作。</w:t>
      </w:r>
    </w:p>
    <w:p>
      <w:pPr>
        <w:keepNext w:val="0"/>
        <w:keepLines w:val="0"/>
        <w:pageBreakBefore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包含网络运维服务、IT设备综合布线系统外包服务两项服务中的IT终端(包括但不仅限于电脑、笔记本、服务器、防火墙、上网行为管理设备、准入设备、核心交换机)设备</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spacing w:line="440" w:lineRule="exact"/>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2.具体要求</w:t>
      </w:r>
    </w:p>
    <w:p>
      <w:pPr>
        <w:keepNext w:val="0"/>
        <w:keepLines w:val="0"/>
        <w:pageBreakBefore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（1）信息安全自查</w:t>
      </w:r>
    </w:p>
    <w:p>
      <w:pPr>
        <w:keepNext w:val="0"/>
        <w:keepLines w:val="0"/>
        <w:pageBreakBefore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助市残联开展信息安全自查工作，形成自查总结报告和安全风险分析报告。自查总结报告应包括三部分：主报告、检查结果统计表及年度深圳市党政机关信息安全联合检查指标及评分标准（包括：安全管理组织、安全制度落实、安全防护措施落实、应急体系建设、安全教育培训、安全隐患排查及整改、安全自查及对下属单位检查）。</w:t>
      </w:r>
    </w:p>
    <w:p>
      <w:pPr>
        <w:keepNext w:val="0"/>
        <w:keepLines w:val="0"/>
        <w:pageBreakBefore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（2）信息安全风险年度评估</w:t>
      </w:r>
    </w:p>
    <w:p>
      <w:pPr>
        <w:keepNext w:val="0"/>
        <w:keepLines w:val="0"/>
        <w:pageBreakBefore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对市残联信息系统安全状况进行检查，编写信息安全风险自评估报告，制定风险处置计划及配合落实整改。（包括：风险自评估计划及实施方案、资产识别、脆弱性识别、威胁风险分析、自评估报告编制）。</w:t>
      </w:r>
    </w:p>
    <w:p>
      <w:pPr>
        <w:keepNext w:val="0"/>
        <w:keepLines w:val="0"/>
        <w:pageBreakBefore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（3）完善信息安全制度</w:t>
      </w:r>
    </w:p>
    <w:p>
      <w:pPr>
        <w:keepNext w:val="0"/>
        <w:keepLines w:val="0"/>
        <w:pageBreakBefore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深圳市信息安全联合检查要求，协助修订及落实各项信息安全管理制度和执行记录。（包括：安全管理组织、人员责任管理制度、网络安全、用户安全、计算机机房及服务器安全、设备和资产管理、安全审计、安全运维、信息系统授权管理制度及执行记录）。</w:t>
      </w:r>
    </w:p>
    <w:p>
      <w:pPr>
        <w:keepNext w:val="0"/>
        <w:keepLines w:val="0"/>
        <w:pageBreakBefore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（4）信息安全教育培训服务</w:t>
      </w:r>
    </w:p>
    <w:p>
      <w:pPr>
        <w:keepNext w:val="0"/>
        <w:keepLines w:val="0"/>
        <w:pageBreakBefore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协助市残联制定年度信息安全专业技能人员和全员信息安全培训计划，编制信息安全培训演示课件，开展信息安全专业技能人员和全体工作人员的培训，并做好相关培训记录，邀请专家安排一次信息安全的讲座。</w:t>
      </w:r>
    </w:p>
    <w:p>
      <w:pPr>
        <w:keepNext w:val="0"/>
        <w:keepLines w:val="0"/>
        <w:pageBreakBefore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）整改反馈</w:t>
      </w:r>
    </w:p>
    <w:p>
      <w:pPr>
        <w:keepNext w:val="0"/>
        <w:keepLines w:val="0"/>
        <w:pageBreakBefore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协助市残联完成市信息安全联合检查组进行的现场检查，根据联合检查组印发的整改通知，落实整改建议，在2个月内完成整改并向联合检查组报告整改情况。</w:t>
      </w:r>
    </w:p>
    <w:p>
      <w:pPr>
        <w:keepNext w:val="0"/>
        <w:keepLines w:val="0"/>
        <w:pageBreakBefore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）其他信息安全服务</w:t>
      </w:r>
    </w:p>
    <w:p>
      <w:pPr>
        <w:keepNext w:val="0"/>
        <w:keepLines w:val="0"/>
        <w:pageBreakBefore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协助市残联完成保密检查、内网终端安全综合管理检查以及网站安全检测等内容。（包括：安全事件防范服务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应急响应机制的建设</w:t>
      </w:r>
      <w:r>
        <w:rPr>
          <w:rFonts w:hint="eastAsia" w:ascii="宋体" w:hAnsi="宋体" w:eastAsia="宋体" w:cs="宋体"/>
          <w:color w:val="auto"/>
          <w:sz w:val="21"/>
          <w:szCs w:val="21"/>
          <w:highlight w:val="none"/>
          <w:lang w:val="en-US" w:eastAsia="zh-CN"/>
        </w:rPr>
        <w:t>及应急演练的开展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安全事故报告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服务器、网站系统、政务公共网终端每季度至少开展一次漏扫工作并形成漏扫报告，市残联官网每年至少开展2次渗透测试工作并形成渗透测试报告</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adjustRightInd/>
        <w:snapToGrid/>
        <w:spacing w:line="440" w:lineRule="exact"/>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（二）网络运维服务</w:t>
      </w:r>
    </w:p>
    <w:p>
      <w:pPr>
        <w:keepNext w:val="0"/>
        <w:keepLines w:val="0"/>
        <w:pageBreakBefore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市残联机关的有线和无线网络、服务器、机房设备的运营维护，保障市残联信息系统的正常访问、运转及设备安全。做到安全漏洞起起报，信息安全周周检，安全管理制度月月查，确保市残联网络安全稳定运行，第一时间处理漏洞，杜绝网络安全隐患。</w:t>
      </w:r>
    </w:p>
    <w:p>
      <w:pPr>
        <w:keepNext w:val="0"/>
        <w:keepLines w:val="0"/>
        <w:pageBreakBefore w:val="0"/>
        <w:kinsoku/>
        <w:wordWrap/>
        <w:overflowPunct/>
        <w:topLinePunct w:val="0"/>
        <w:autoSpaceDE/>
        <w:autoSpaceDN/>
        <w:bidi w:val="0"/>
        <w:adjustRightInd/>
        <w:snapToGrid/>
        <w:spacing w:line="440" w:lineRule="exact"/>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（三）IT设备综合布线系统外包服务</w:t>
      </w:r>
    </w:p>
    <w:p>
      <w:pPr>
        <w:keepNext w:val="0"/>
        <w:keepLines w:val="0"/>
        <w:pageBreakBefore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市残联的电脑、打印机、复印机、电话、网线、网络端口、会议设备的运营维护，保障IT终端设备的正常运行，终端设备资产清查、实名登记、落实终端安全，每周排查僵尸病毒、木马病毒等影响网络安全的隐患，第一时间报告及整改相关风险。</w:t>
      </w:r>
    </w:p>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硬件服务范围</w:t>
      </w:r>
    </w:p>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市残联机关（地址为罗湖区笋岗东路3012号中民时代广场B座12楼）的全部台式电脑、笔记本电脑、打印机、复印机、传真机、会议室设备、电话、有线网络端口(布线)。</w:t>
      </w:r>
    </w:p>
    <w:p>
      <w:pPr>
        <w:keepNext w:val="0"/>
        <w:keepLines w:val="0"/>
        <w:pageBreakBefore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2.应用系统运维服务内容</w:t>
      </w:r>
    </w:p>
    <w:tbl>
      <w:tblPr>
        <w:tblStyle w:val="4"/>
        <w:tblW w:w="92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194"/>
        <w:gridCol w:w="6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jc w:val="center"/>
        </w:trPr>
        <w:tc>
          <w:tcPr>
            <w:tcW w:w="3072" w:type="dxa"/>
            <w:gridSpan w:val="2"/>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服务需求内容</w:t>
            </w:r>
          </w:p>
        </w:tc>
        <w:tc>
          <w:tcPr>
            <w:tcW w:w="6143"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878" w:type="dxa"/>
            <w:vMerge w:val="restart"/>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终端维护</w:t>
            </w:r>
          </w:p>
        </w:tc>
        <w:tc>
          <w:tcPr>
            <w:tcW w:w="2194" w:type="dxa"/>
            <w:vMerge w:val="restart"/>
            <w:shd w:val="clear" w:color="000000" w:fill="FFFFFF"/>
            <w:noWrap w:val="0"/>
            <w:vAlign w:val="center"/>
          </w:tcPr>
          <w:p>
            <w:pPr>
              <w:keepNext w:val="0"/>
              <w:keepLines w:val="0"/>
              <w:pageBreakBefore w:val="0"/>
              <w:widowControl/>
              <w:numPr>
                <w:ilvl w:val="0"/>
                <w:numId w:val="1"/>
              </w:numPr>
              <w:suppressLineNumbers w:val="0"/>
              <w:tabs>
                <w:tab w:val="left" w:pos="371"/>
              </w:tabs>
              <w:kinsoku/>
              <w:wordWrap/>
              <w:overflowPunct/>
              <w:topLinePunct w:val="0"/>
              <w:autoSpaceDE/>
              <w:autoSpaceDN/>
              <w:bidi w:val="0"/>
              <w:adjustRightInd/>
              <w:snapToGrid/>
              <w:spacing w:before="0" w:beforeAutospacing="0" w:after="0" w:afterAutospacing="0" w:line="440" w:lineRule="exact"/>
              <w:ind w:left="0" w:leftChars="0" w:righ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普通终端系统维护</w:t>
            </w:r>
          </w:p>
        </w:tc>
        <w:tc>
          <w:tcPr>
            <w:tcW w:w="6143"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终端系统硬件和常用办公软件的安装、故障诊断和排除，并向用户作出相关解释和介绍；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878" w:type="dxa"/>
            <w:vMerge w:val="continue"/>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left"/>
              <w:textAlignment w:val="auto"/>
              <w:rPr>
                <w:rFonts w:hint="eastAsia" w:ascii="宋体" w:hAnsi="宋体" w:eastAsia="宋体" w:cs="宋体"/>
                <w:color w:val="auto"/>
                <w:kern w:val="0"/>
                <w:sz w:val="21"/>
                <w:szCs w:val="21"/>
                <w:highlight w:val="none"/>
              </w:rPr>
            </w:pPr>
          </w:p>
        </w:tc>
        <w:tc>
          <w:tcPr>
            <w:tcW w:w="2194" w:type="dxa"/>
            <w:vMerge w:val="continue"/>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left"/>
              <w:textAlignment w:val="auto"/>
              <w:rPr>
                <w:rFonts w:hint="eastAsia" w:ascii="宋体" w:hAnsi="宋体" w:eastAsia="宋体" w:cs="宋体"/>
                <w:color w:val="auto"/>
                <w:kern w:val="0"/>
                <w:sz w:val="21"/>
                <w:szCs w:val="21"/>
                <w:highlight w:val="none"/>
              </w:rPr>
            </w:pPr>
          </w:p>
        </w:tc>
        <w:tc>
          <w:tcPr>
            <w:tcW w:w="6143"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终端及外设的基础使用设置、故障诊断和排除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jc w:val="center"/>
        </w:trPr>
        <w:tc>
          <w:tcPr>
            <w:tcW w:w="878" w:type="dxa"/>
            <w:vMerge w:val="continue"/>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left"/>
              <w:textAlignment w:val="auto"/>
              <w:rPr>
                <w:rFonts w:hint="eastAsia" w:ascii="宋体" w:hAnsi="宋体" w:eastAsia="宋体" w:cs="宋体"/>
                <w:color w:val="auto"/>
                <w:kern w:val="0"/>
                <w:sz w:val="21"/>
                <w:szCs w:val="21"/>
                <w:highlight w:val="none"/>
              </w:rPr>
            </w:pPr>
          </w:p>
        </w:tc>
        <w:tc>
          <w:tcPr>
            <w:tcW w:w="2194" w:type="dxa"/>
            <w:shd w:val="clear" w:color="000000" w:fill="FFFFFF"/>
            <w:noWrap w:val="0"/>
            <w:vAlign w:val="center"/>
          </w:tcPr>
          <w:p>
            <w:pPr>
              <w:keepNext w:val="0"/>
              <w:keepLines w:val="0"/>
              <w:pageBreakBefore w:val="0"/>
              <w:widowControl/>
              <w:numPr>
                <w:ilvl w:val="0"/>
                <w:numId w:val="1"/>
              </w:numPr>
              <w:suppressLineNumbers w:val="0"/>
              <w:tabs>
                <w:tab w:val="left" w:pos="371"/>
              </w:tabs>
              <w:kinsoku/>
              <w:wordWrap/>
              <w:overflowPunct/>
              <w:topLinePunct w:val="0"/>
              <w:autoSpaceDE/>
              <w:autoSpaceDN/>
              <w:bidi w:val="0"/>
              <w:adjustRightInd/>
              <w:snapToGrid/>
              <w:spacing w:before="0" w:beforeAutospacing="0" w:after="0" w:afterAutospacing="0" w:line="440" w:lineRule="exact"/>
              <w:ind w:left="0" w:leftChars="0" w:righ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服务的记录、提交、系统录入</w:t>
            </w:r>
          </w:p>
        </w:tc>
        <w:tc>
          <w:tcPr>
            <w:tcW w:w="6143"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对发生和实施的服务进行准确的判断、记录、故障解决后将解决方案录入ITSM系统；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878" w:type="dxa"/>
            <w:vMerge w:val="continue"/>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left"/>
              <w:textAlignment w:val="auto"/>
              <w:rPr>
                <w:rFonts w:hint="eastAsia" w:ascii="宋体" w:hAnsi="宋体" w:eastAsia="宋体" w:cs="宋体"/>
                <w:color w:val="auto"/>
                <w:kern w:val="0"/>
                <w:sz w:val="21"/>
                <w:szCs w:val="21"/>
                <w:highlight w:val="none"/>
              </w:rPr>
            </w:pPr>
          </w:p>
        </w:tc>
        <w:tc>
          <w:tcPr>
            <w:tcW w:w="2194" w:type="dxa"/>
            <w:shd w:val="clear" w:color="000000" w:fill="FFFFFF"/>
            <w:noWrap w:val="0"/>
            <w:vAlign w:val="center"/>
          </w:tcPr>
          <w:p>
            <w:pPr>
              <w:keepNext w:val="0"/>
              <w:keepLines w:val="0"/>
              <w:pageBreakBefore w:val="0"/>
              <w:widowControl/>
              <w:numPr>
                <w:ilvl w:val="0"/>
                <w:numId w:val="1"/>
              </w:numPr>
              <w:suppressLineNumbers w:val="0"/>
              <w:tabs>
                <w:tab w:val="left" w:pos="371"/>
              </w:tabs>
              <w:kinsoku/>
              <w:wordWrap/>
              <w:overflowPunct/>
              <w:topLinePunct w:val="0"/>
              <w:autoSpaceDE/>
              <w:autoSpaceDN/>
              <w:bidi w:val="0"/>
              <w:adjustRightInd/>
              <w:snapToGrid/>
              <w:spacing w:before="0" w:beforeAutospacing="0" w:after="0" w:afterAutospacing="0" w:line="440" w:lineRule="exact"/>
              <w:ind w:left="0" w:leftChars="0" w:righ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终端维护的知识积累及管理</w:t>
            </w:r>
          </w:p>
        </w:tc>
        <w:tc>
          <w:tcPr>
            <w:tcW w:w="6143"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对于常见故障进行总结、给出解决办法和方案；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jc w:val="center"/>
        </w:trPr>
        <w:tc>
          <w:tcPr>
            <w:tcW w:w="878" w:type="dxa"/>
            <w:vMerge w:val="continue"/>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left"/>
              <w:textAlignment w:val="auto"/>
              <w:rPr>
                <w:rFonts w:hint="eastAsia" w:ascii="宋体" w:hAnsi="宋体" w:eastAsia="宋体" w:cs="宋体"/>
                <w:color w:val="auto"/>
                <w:kern w:val="0"/>
                <w:sz w:val="21"/>
                <w:szCs w:val="21"/>
                <w:highlight w:val="none"/>
              </w:rPr>
            </w:pPr>
          </w:p>
        </w:tc>
        <w:tc>
          <w:tcPr>
            <w:tcW w:w="2194" w:type="dxa"/>
            <w:shd w:val="clear" w:color="000000" w:fill="FFFFFF"/>
            <w:noWrap w:val="0"/>
            <w:vAlign w:val="center"/>
          </w:tcPr>
          <w:p>
            <w:pPr>
              <w:keepNext w:val="0"/>
              <w:keepLines w:val="0"/>
              <w:pageBreakBefore w:val="0"/>
              <w:widowControl/>
              <w:numPr>
                <w:ilvl w:val="0"/>
                <w:numId w:val="1"/>
              </w:numPr>
              <w:suppressLineNumbers w:val="0"/>
              <w:tabs>
                <w:tab w:val="left" w:pos="371"/>
              </w:tabs>
              <w:kinsoku/>
              <w:wordWrap/>
              <w:overflowPunct/>
              <w:topLinePunct w:val="0"/>
              <w:autoSpaceDE/>
              <w:autoSpaceDN/>
              <w:bidi w:val="0"/>
              <w:adjustRightInd/>
              <w:snapToGrid/>
              <w:spacing w:before="0" w:beforeAutospacing="0" w:after="0" w:afterAutospacing="0" w:line="440" w:lineRule="exact"/>
              <w:ind w:left="0" w:leftChars="0" w:righ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突发事件处理</w:t>
            </w:r>
          </w:p>
        </w:tc>
        <w:tc>
          <w:tcPr>
            <w:tcW w:w="6143"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对于非常规的突发故障如影响5人以上用户突发事件提供反馈和现场支持服务</w:t>
            </w:r>
            <w:r>
              <w:rPr>
                <w:rFonts w:hint="eastAsia" w:ascii="宋体" w:hAnsi="宋体" w:eastAsia="宋体" w:cs="宋体"/>
                <w:color w:val="auto"/>
                <w:kern w:val="0"/>
                <w:sz w:val="21"/>
                <w:szCs w:val="21"/>
                <w:highlight w:val="none"/>
                <w:lang w:eastAsia="zh-CN"/>
              </w:rPr>
              <w:t>。</w:t>
            </w:r>
          </w:p>
        </w:tc>
      </w:tr>
    </w:tbl>
    <w:p>
      <w:pPr>
        <w:keepNext w:val="0"/>
        <w:keepLines w:val="0"/>
        <w:pageBreakBefore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3.终端运维服务内容</w:t>
      </w:r>
    </w:p>
    <w:tbl>
      <w:tblPr>
        <w:tblStyle w:val="4"/>
        <w:tblW w:w="9215" w:type="dxa"/>
        <w:jc w:val="center"/>
        <w:tblInd w:w="0" w:type="dxa"/>
        <w:tblLayout w:type="fixed"/>
        <w:tblCellMar>
          <w:top w:w="0" w:type="dxa"/>
          <w:left w:w="108" w:type="dxa"/>
          <w:bottom w:w="0" w:type="dxa"/>
          <w:right w:w="108" w:type="dxa"/>
        </w:tblCellMar>
      </w:tblPr>
      <w:tblGrid>
        <w:gridCol w:w="900"/>
        <w:gridCol w:w="2188"/>
        <w:gridCol w:w="6127"/>
      </w:tblGrid>
      <w:tr>
        <w:tblPrEx>
          <w:tblLayout w:type="fixed"/>
          <w:tblCellMar>
            <w:top w:w="0" w:type="dxa"/>
            <w:left w:w="108" w:type="dxa"/>
            <w:bottom w:w="0" w:type="dxa"/>
            <w:right w:w="108" w:type="dxa"/>
          </w:tblCellMar>
        </w:tblPrEx>
        <w:trPr>
          <w:trHeight w:val="50" w:hRule="atLeast"/>
          <w:jc w:val="center"/>
        </w:trPr>
        <w:tc>
          <w:tcPr>
            <w:tcW w:w="3088" w:type="dxa"/>
            <w:gridSpan w:val="2"/>
            <w:tcBorders>
              <w:top w:val="single" w:color="auto" w:sz="8" w:space="0"/>
              <w:left w:val="single" w:color="auto" w:sz="8" w:space="0"/>
              <w:bottom w:val="single" w:color="auto" w:sz="8" w:space="0"/>
              <w:right w:val="nil"/>
            </w:tcBorders>
            <w:shd w:val="clear" w:color="auto" w:fill="A6A6A6"/>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服务需求内容</w:t>
            </w:r>
          </w:p>
        </w:tc>
        <w:tc>
          <w:tcPr>
            <w:tcW w:w="6127" w:type="dxa"/>
            <w:tcBorders>
              <w:top w:val="single" w:color="auto" w:sz="8" w:space="0"/>
              <w:left w:val="single" w:color="auto" w:sz="8" w:space="0"/>
              <w:bottom w:val="single" w:color="auto" w:sz="8" w:space="0"/>
              <w:right w:val="single" w:color="auto" w:sz="8" w:space="0"/>
            </w:tcBorders>
            <w:shd w:val="clear" w:color="auto" w:fill="A6A6A6"/>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说明</w:t>
            </w:r>
          </w:p>
        </w:tc>
      </w:tr>
      <w:tr>
        <w:tblPrEx>
          <w:tblLayout w:type="fixed"/>
          <w:tblCellMar>
            <w:top w:w="0" w:type="dxa"/>
            <w:left w:w="108" w:type="dxa"/>
            <w:bottom w:w="0" w:type="dxa"/>
            <w:right w:w="108" w:type="dxa"/>
          </w:tblCellMar>
        </w:tblPrEx>
        <w:trPr>
          <w:trHeight w:val="197" w:hRule="atLeast"/>
          <w:jc w:val="center"/>
        </w:trPr>
        <w:tc>
          <w:tcPr>
            <w:tcW w:w="900" w:type="dxa"/>
            <w:vMerge w:val="restart"/>
            <w:tcBorders>
              <w:top w:val="nil"/>
              <w:left w:val="single" w:color="auto" w:sz="8" w:space="0"/>
              <w:right w:val="single" w:color="auto"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终端服务</w:t>
            </w:r>
          </w:p>
        </w:tc>
        <w:tc>
          <w:tcPr>
            <w:tcW w:w="2188" w:type="dxa"/>
            <w:vMerge w:val="restart"/>
            <w:tcBorders>
              <w:top w:val="nil"/>
              <w:left w:val="single" w:color="auto" w:sz="8" w:space="0"/>
              <w:right w:val="single" w:color="auto"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PC、Laptop、终端服务</w:t>
            </w:r>
          </w:p>
        </w:tc>
        <w:tc>
          <w:tcPr>
            <w:tcW w:w="6127" w:type="dxa"/>
            <w:tcBorders>
              <w:top w:val="nil"/>
              <w:left w:val="nil"/>
              <w:bottom w:val="single" w:color="auto" w:sz="8" w:space="0"/>
              <w:right w:val="single" w:color="auto" w:sz="8"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 PC及硬件、线路故障的诊断和排除；</w:t>
            </w:r>
          </w:p>
        </w:tc>
      </w:tr>
      <w:tr>
        <w:tblPrEx>
          <w:tblLayout w:type="fixed"/>
          <w:tblCellMar>
            <w:top w:w="0" w:type="dxa"/>
            <w:left w:w="108" w:type="dxa"/>
            <w:bottom w:w="0" w:type="dxa"/>
            <w:right w:w="108" w:type="dxa"/>
          </w:tblCellMar>
        </w:tblPrEx>
        <w:trPr>
          <w:trHeight w:val="60" w:hRule="atLeast"/>
          <w:jc w:val="center"/>
        </w:trPr>
        <w:tc>
          <w:tcPr>
            <w:tcW w:w="900" w:type="dxa"/>
            <w:vMerge w:val="continue"/>
            <w:tcBorders>
              <w:left w:val="single" w:color="auto" w:sz="8" w:space="0"/>
              <w:right w:val="single" w:color="auto"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left"/>
              <w:textAlignment w:val="auto"/>
              <w:rPr>
                <w:rFonts w:hint="eastAsia" w:ascii="宋体" w:hAnsi="宋体" w:eastAsia="宋体" w:cs="宋体"/>
                <w:color w:val="auto"/>
                <w:kern w:val="0"/>
                <w:sz w:val="21"/>
                <w:szCs w:val="21"/>
                <w:highlight w:val="none"/>
              </w:rPr>
            </w:pPr>
          </w:p>
        </w:tc>
        <w:tc>
          <w:tcPr>
            <w:tcW w:w="2188" w:type="dxa"/>
            <w:vMerge w:val="continue"/>
            <w:tcBorders>
              <w:left w:val="single" w:color="auto" w:sz="8" w:space="0"/>
              <w:right w:val="single" w:color="auto"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left"/>
              <w:textAlignment w:val="auto"/>
              <w:rPr>
                <w:rFonts w:hint="eastAsia" w:ascii="宋体" w:hAnsi="宋体" w:eastAsia="宋体" w:cs="宋体"/>
                <w:color w:val="auto"/>
                <w:kern w:val="0"/>
                <w:sz w:val="21"/>
                <w:szCs w:val="21"/>
                <w:highlight w:val="none"/>
              </w:rPr>
            </w:pPr>
          </w:p>
        </w:tc>
        <w:tc>
          <w:tcPr>
            <w:tcW w:w="6127" w:type="dxa"/>
            <w:tcBorders>
              <w:top w:val="nil"/>
              <w:left w:val="nil"/>
              <w:bottom w:val="single" w:color="auto" w:sz="8" w:space="0"/>
              <w:right w:val="single" w:color="auto" w:sz="8"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 PC硬件故障的备件更换和恢复（不涉及配件及设备供应，仅提供技术及人工服务）；</w:t>
            </w:r>
          </w:p>
        </w:tc>
      </w:tr>
      <w:tr>
        <w:tblPrEx>
          <w:tblLayout w:type="fixed"/>
          <w:tblCellMar>
            <w:top w:w="0" w:type="dxa"/>
            <w:left w:w="108" w:type="dxa"/>
            <w:bottom w:w="0" w:type="dxa"/>
            <w:right w:w="108" w:type="dxa"/>
          </w:tblCellMar>
        </w:tblPrEx>
        <w:trPr>
          <w:trHeight w:val="60" w:hRule="atLeast"/>
          <w:jc w:val="center"/>
        </w:trPr>
        <w:tc>
          <w:tcPr>
            <w:tcW w:w="900" w:type="dxa"/>
            <w:vMerge w:val="continue"/>
            <w:tcBorders>
              <w:left w:val="single" w:color="auto" w:sz="8" w:space="0"/>
              <w:bottom w:val="single" w:color="auto" w:sz="4" w:space="0"/>
              <w:right w:val="single" w:color="auto"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left"/>
              <w:textAlignment w:val="auto"/>
              <w:rPr>
                <w:rFonts w:hint="eastAsia" w:ascii="宋体" w:hAnsi="宋体" w:eastAsia="宋体" w:cs="宋体"/>
                <w:color w:val="auto"/>
                <w:kern w:val="0"/>
                <w:sz w:val="21"/>
                <w:szCs w:val="21"/>
                <w:highlight w:val="none"/>
              </w:rPr>
            </w:pPr>
          </w:p>
        </w:tc>
        <w:tc>
          <w:tcPr>
            <w:tcW w:w="2188" w:type="dxa"/>
            <w:vMerge w:val="continue"/>
            <w:tcBorders>
              <w:left w:val="single" w:color="auto" w:sz="8" w:space="0"/>
              <w:bottom w:val="single" w:color="auto" w:sz="4" w:space="0"/>
              <w:right w:val="single" w:color="auto"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left"/>
              <w:textAlignment w:val="auto"/>
              <w:rPr>
                <w:rFonts w:hint="eastAsia" w:ascii="宋体" w:hAnsi="宋体" w:eastAsia="宋体" w:cs="宋体"/>
                <w:color w:val="auto"/>
                <w:kern w:val="0"/>
                <w:sz w:val="21"/>
                <w:szCs w:val="21"/>
                <w:highlight w:val="none"/>
              </w:rPr>
            </w:pPr>
          </w:p>
        </w:tc>
        <w:tc>
          <w:tcPr>
            <w:tcW w:w="6127" w:type="dxa"/>
            <w:tcBorders>
              <w:top w:val="nil"/>
              <w:left w:val="nil"/>
              <w:bottom w:val="single" w:color="auto" w:sz="4" w:space="0"/>
              <w:right w:val="single" w:color="auto" w:sz="8"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 保内PC硬件维修的流程操作（与厂商联系、记录和处理过程跟踪，直至问题解决）；</w:t>
            </w:r>
          </w:p>
        </w:tc>
      </w:tr>
    </w:tbl>
    <w:p>
      <w:pPr>
        <w:keepNext w:val="0"/>
        <w:keepLines w:val="0"/>
        <w:pageBreakBefore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4.外设类硬件运维维护服务内容</w:t>
      </w:r>
    </w:p>
    <w:tbl>
      <w:tblPr>
        <w:tblStyle w:val="4"/>
        <w:tblW w:w="9215" w:type="dxa"/>
        <w:jc w:val="center"/>
        <w:tblInd w:w="0" w:type="dxa"/>
        <w:tblLayout w:type="fixed"/>
        <w:tblCellMar>
          <w:top w:w="0" w:type="dxa"/>
          <w:left w:w="108" w:type="dxa"/>
          <w:bottom w:w="0" w:type="dxa"/>
          <w:right w:w="108" w:type="dxa"/>
        </w:tblCellMar>
      </w:tblPr>
      <w:tblGrid>
        <w:gridCol w:w="900"/>
        <w:gridCol w:w="2188"/>
        <w:gridCol w:w="6127"/>
      </w:tblGrid>
      <w:tr>
        <w:tblPrEx>
          <w:tblLayout w:type="fixed"/>
          <w:tblCellMar>
            <w:top w:w="0" w:type="dxa"/>
            <w:left w:w="108" w:type="dxa"/>
            <w:bottom w:w="0" w:type="dxa"/>
            <w:right w:w="108" w:type="dxa"/>
          </w:tblCellMar>
        </w:tblPrEx>
        <w:trPr>
          <w:trHeight w:val="570" w:hRule="atLeast"/>
          <w:jc w:val="center"/>
        </w:trPr>
        <w:tc>
          <w:tcPr>
            <w:tcW w:w="3088" w:type="dxa"/>
            <w:gridSpan w:val="2"/>
            <w:tcBorders>
              <w:top w:val="single" w:color="auto" w:sz="8" w:space="0"/>
              <w:left w:val="single" w:color="auto" w:sz="8" w:space="0"/>
              <w:bottom w:val="single" w:color="auto" w:sz="8" w:space="0"/>
              <w:right w:val="nil"/>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服务需求内容</w:t>
            </w:r>
            <w:r>
              <w:rPr>
                <w:rFonts w:hint="eastAsia" w:ascii="宋体" w:hAnsi="宋体" w:eastAsia="宋体" w:cs="宋体"/>
                <w:color w:val="auto"/>
                <w:kern w:val="0"/>
                <w:sz w:val="21"/>
                <w:szCs w:val="21"/>
                <w:highlight w:val="none"/>
              </w:rPr>
              <w:t>（含打印、复印、扫描、会议设备等）</w:t>
            </w:r>
          </w:p>
        </w:tc>
        <w:tc>
          <w:tcPr>
            <w:tcW w:w="6127"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说明</w:t>
            </w:r>
          </w:p>
        </w:tc>
      </w:tr>
      <w:tr>
        <w:tblPrEx>
          <w:tblLayout w:type="fixed"/>
          <w:tblCellMar>
            <w:top w:w="0" w:type="dxa"/>
            <w:left w:w="108" w:type="dxa"/>
            <w:bottom w:w="0" w:type="dxa"/>
            <w:right w:w="108" w:type="dxa"/>
          </w:tblCellMar>
        </w:tblPrEx>
        <w:trPr>
          <w:trHeight w:val="60" w:hRule="atLeast"/>
          <w:jc w:val="center"/>
        </w:trPr>
        <w:tc>
          <w:tcPr>
            <w:tcW w:w="900" w:type="dxa"/>
            <w:vMerge w:val="restart"/>
            <w:tcBorders>
              <w:top w:val="nil"/>
              <w:left w:val="single" w:color="auto" w:sz="8" w:space="0"/>
              <w:right w:val="single" w:color="auto"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外设维修</w:t>
            </w:r>
          </w:p>
        </w:tc>
        <w:tc>
          <w:tcPr>
            <w:tcW w:w="2188" w:type="dxa"/>
            <w:vMerge w:val="restart"/>
            <w:tcBorders>
              <w:top w:val="nil"/>
              <w:left w:val="single" w:color="auto" w:sz="8" w:space="0"/>
              <w:right w:val="single" w:color="auto"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外设故障诊断、软件维护、硬件维修</w:t>
            </w:r>
          </w:p>
        </w:tc>
        <w:tc>
          <w:tcPr>
            <w:tcW w:w="6127" w:type="dxa"/>
            <w:tcBorders>
              <w:top w:val="nil"/>
              <w:left w:val="nil"/>
              <w:bottom w:val="single" w:color="auto" w:sz="8" w:space="0"/>
              <w:right w:val="single" w:color="auto" w:sz="8"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1.1 常见外设故障诊断和排除，驱动软件维护； </w:t>
            </w:r>
          </w:p>
        </w:tc>
      </w:tr>
      <w:tr>
        <w:tblPrEx>
          <w:tblLayout w:type="fixed"/>
          <w:tblCellMar>
            <w:top w:w="0" w:type="dxa"/>
            <w:left w:w="108" w:type="dxa"/>
            <w:bottom w:w="0" w:type="dxa"/>
            <w:right w:w="108" w:type="dxa"/>
          </w:tblCellMar>
        </w:tblPrEx>
        <w:trPr>
          <w:trHeight w:val="60" w:hRule="atLeast"/>
          <w:jc w:val="center"/>
        </w:trPr>
        <w:tc>
          <w:tcPr>
            <w:tcW w:w="900" w:type="dxa"/>
            <w:vMerge w:val="continue"/>
            <w:tcBorders>
              <w:left w:val="single" w:color="auto" w:sz="8" w:space="0"/>
              <w:right w:val="single" w:color="auto"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left"/>
              <w:textAlignment w:val="auto"/>
              <w:rPr>
                <w:rFonts w:hint="eastAsia" w:ascii="宋体" w:hAnsi="宋体" w:eastAsia="宋体" w:cs="宋体"/>
                <w:color w:val="auto"/>
                <w:kern w:val="0"/>
                <w:sz w:val="21"/>
                <w:szCs w:val="21"/>
                <w:highlight w:val="none"/>
              </w:rPr>
            </w:pPr>
          </w:p>
        </w:tc>
        <w:tc>
          <w:tcPr>
            <w:tcW w:w="2188" w:type="dxa"/>
            <w:vMerge w:val="continue"/>
            <w:tcBorders>
              <w:left w:val="single" w:color="auto" w:sz="8" w:space="0"/>
              <w:right w:val="single" w:color="auto"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left"/>
              <w:textAlignment w:val="auto"/>
              <w:rPr>
                <w:rFonts w:hint="eastAsia" w:ascii="宋体" w:hAnsi="宋体" w:eastAsia="宋体" w:cs="宋体"/>
                <w:color w:val="auto"/>
                <w:kern w:val="0"/>
                <w:sz w:val="21"/>
                <w:szCs w:val="21"/>
                <w:highlight w:val="none"/>
              </w:rPr>
            </w:pPr>
          </w:p>
        </w:tc>
        <w:tc>
          <w:tcPr>
            <w:tcW w:w="6127" w:type="dxa"/>
            <w:tcBorders>
              <w:top w:val="nil"/>
              <w:left w:val="nil"/>
              <w:bottom w:val="single" w:color="auto" w:sz="8" w:space="0"/>
              <w:right w:val="single" w:color="auto" w:sz="8"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 保内外设(</w:t>
            </w:r>
            <w:r>
              <w:rPr>
                <w:rFonts w:hint="eastAsia" w:ascii="宋体" w:hAnsi="宋体" w:eastAsia="宋体" w:cs="宋体"/>
                <w:color w:val="auto"/>
                <w:sz w:val="21"/>
                <w:szCs w:val="21"/>
                <w:highlight w:val="none"/>
              </w:rPr>
              <w:t>市</w:t>
            </w:r>
            <w:r>
              <w:rPr>
                <w:rFonts w:hint="eastAsia" w:ascii="宋体" w:hAnsi="宋体" w:eastAsia="宋体" w:cs="宋体"/>
                <w:color w:val="auto"/>
                <w:kern w:val="0"/>
                <w:sz w:val="21"/>
                <w:szCs w:val="21"/>
                <w:highlight w:val="none"/>
              </w:rPr>
              <w:t>残联所有)硬件维修的流程操作（厂商联系、记录和过程跟踪）；</w:t>
            </w:r>
          </w:p>
        </w:tc>
      </w:tr>
      <w:tr>
        <w:tblPrEx>
          <w:tblLayout w:type="fixed"/>
          <w:tblCellMar>
            <w:top w:w="0" w:type="dxa"/>
            <w:left w:w="108" w:type="dxa"/>
            <w:bottom w:w="0" w:type="dxa"/>
            <w:right w:w="108" w:type="dxa"/>
          </w:tblCellMar>
        </w:tblPrEx>
        <w:trPr>
          <w:trHeight w:val="70" w:hRule="atLeast"/>
          <w:jc w:val="center"/>
        </w:trPr>
        <w:tc>
          <w:tcPr>
            <w:tcW w:w="900" w:type="dxa"/>
            <w:vMerge w:val="continue"/>
            <w:tcBorders>
              <w:left w:val="single" w:color="auto" w:sz="8" w:space="0"/>
              <w:bottom w:val="single" w:color="000000" w:sz="8"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left"/>
              <w:textAlignment w:val="auto"/>
              <w:rPr>
                <w:rFonts w:hint="eastAsia" w:ascii="宋体" w:hAnsi="宋体" w:eastAsia="宋体" w:cs="宋体"/>
                <w:color w:val="auto"/>
                <w:kern w:val="0"/>
                <w:sz w:val="21"/>
                <w:szCs w:val="21"/>
                <w:highlight w:val="none"/>
              </w:rPr>
            </w:pPr>
          </w:p>
        </w:tc>
        <w:tc>
          <w:tcPr>
            <w:tcW w:w="218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外设耗材更换</w:t>
            </w:r>
          </w:p>
        </w:tc>
        <w:tc>
          <w:tcPr>
            <w:tcW w:w="612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 除如下耗材外，其它维修所需配件、设备均由外包服务商负责免费更换；对</w:t>
            </w:r>
            <w:r>
              <w:rPr>
                <w:rFonts w:hint="eastAsia" w:ascii="宋体" w:hAnsi="宋体" w:eastAsia="宋体" w:cs="宋体"/>
                <w:color w:val="auto"/>
                <w:sz w:val="21"/>
                <w:szCs w:val="21"/>
                <w:highlight w:val="none"/>
              </w:rPr>
              <w:t>市</w:t>
            </w:r>
            <w:r>
              <w:rPr>
                <w:rFonts w:hint="eastAsia" w:ascii="宋体" w:hAnsi="宋体" w:eastAsia="宋体" w:cs="宋体"/>
                <w:color w:val="auto"/>
                <w:kern w:val="0"/>
                <w:sz w:val="21"/>
                <w:szCs w:val="21"/>
                <w:highlight w:val="none"/>
              </w:rPr>
              <w:t>残联需要更换的耗材，必须提供相应的支持服务。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耗材定义如下：打印机、复印机和一体机的耗材（晒鼓、鼓芯、墨盒、粉盒、色带芯、色带架），投影机灯泡，传真机热敏头，打印复印所需纸张</w:t>
            </w:r>
            <w:r>
              <w:rPr>
                <w:rFonts w:hint="eastAsia" w:ascii="宋体" w:hAnsi="宋体" w:eastAsia="宋体" w:cs="宋体"/>
                <w:color w:val="auto"/>
                <w:kern w:val="0"/>
                <w:sz w:val="21"/>
                <w:szCs w:val="21"/>
                <w:highlight w:val="none"/>
                <w:lang w:val="zh-CN"/>
              </w:rPr>
              <w:t>。</w:t>
            </w:r>
          </w:p>
        </w:tc>
      </w:tr>
    </w:tbl>
    <w:p>
      <w:pPr>
        <w:keepNext w:val="0"/>
        <w:keepLines w:val="0"/>
        <w:pageBreakBefore w:val="0"/>
        <w:kinsoku/>
        <w:wordWrap/>
        <w:overflowPunct/>
        <w:topLinePunct w:val="0"/>
        <w:autoSpaceDE/>
        <w:autoSpaceDN/>
        <w:bidi w:val="0"/>
        <w:adjustRightInd/>
        <w:snapToGrid/>
        <w:spacing w:line="440" w:lineRule="exact"/>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（四）网络管理设备增值服务</w:t>
      </w:r>
    </w:p>
    <w:p>
      <w:pPr>
        <w:keepNext w:val="0"/>
        <w:keepLines w:val="0"/>
        <w:pageBreakBefore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升级市残联系统网络安全管理设备增值服务，设备增值服务期为一年，发挥市残联网络安全设备的主动性，对网络实施有效管理，保障市残联网络安全稳定运行。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三、项目管理和服务要求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深圳市残疾人联合会购买的信息化运维服务项目要求派</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名工作人员驻点市残联从事具体工作事项，驻点工作人员男女不限，须具备良好的计算机软硬件维护能力，有从事信息化等相关工作经验，有信息与通信工程或计算机科学与技术学士学位，或国家认证的技能资格证书；具备良好的职业道德，热爱本职工作、安心本职岗位，诚实守信，廉洁自律，客观公正，坚持准则，强化服务；能运用专业计算机和信息化技术，解决实际工作问题。同时，必须保守本单位有关工作秘密。</w:t>
      </w:r>
    </w:p>
    <w:p>
      <w:pPr>
        <w:pStyle w:val="2"/>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p>
    <w:p>
      <w:pPr>
        <w:keepNext w:val="0"/>
        <w:keepLines w:val="0"/>
        <w:pageBreakBefore w:val="0"/>
        <w:widowControl w:val="0"/>
        <w:kinsoku/>
        <w:wordWrap/>
        <w:overflowPunct/>
        <w:topLinePunct w:val="0"/>
        <w:bidi w:val="0"/>
        <w:snapToGrid/>
        <w:jc w:val="center"/>
        <w:outlineLvl w:val="1"/>
        <w:rPr>
          <w:rFonts w:hint="eastAsia" w:ascii="微软雅黑" w:hAnsi="微软雅黑" w:eastAsia="微软雅黑" w:cs="微软雅黑"/>
          <w:b/>
          <w:bCs w:val="0"/>
          <w:color w:val="auto"/>
          <w:sz w:val="24"/>
          <w:szCs w:val="24"/>
          <w:highlight w:val="none"/>
        </w:rPr>
      </w:pPr>
      <w:bookmarkStart w:id="4" w:name="_Toc26714"/>
      <w:r>
        <w:rPr>
          <w:rFonts w:hint="eastAsia" w:ascii="微软雅黑" w:hAnsi="微软雅黑" w:eastAsia="微软雅黑" w:cs="微软雅黑"/>
          <w:b/>
          <w:bCs w:val="0"/>
          <w:color w:val="auto"/>
          <w:sz w:val="24"/>
          <w:szCs w:val="24"/>
          <w:highlight w:val="none"/>
        </w:rPr>
        <w:t>第四节  商务需求明细</w:t>
      </w:r>
      <w:bookmarkEnd w:id="4"/>
    </w:p>
    <w:p>
      <w:pPr>
        <w:keepNext w:val="0"/>
        <w:keepLines w:val="0"/>
        <w:pageBreakBefore w:val="0"/>
        <w:widowControl/>
        <w:wordWrap/>
        <w:topLinePunct w:val="0"/>
        <w:bidi w:val="0"/>
        <w:snapToGrid/>
        <w:spacing w:line="440" w:lineRule="exact"/>
        <w:ind w:left="0"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lang w:eastAsia="zh-CN"/>
        </w:rPr>
        <w:t>一、</w:t>
      </w:r>
      <w:r>
        <w:rPr>
          <w:rFonts w:hint="eastAsia" w:ascii="宋体" w:hAnsi="宋体" w:eastAsia="宋体" w:cs="宋体"/>
          <w:b/>
          <w:bCs/>
          <w:color w:val="auto"/>
          <w:sz w:val="21"/>
          <w:szCs w:val="21"/>
          <w:highlight w:val="none"/>
        </w:rPr>
        <w:t>服务期：此项目</w:t>
      </w:r>
      <w:r>
        <w:rPr>
          <w:rFonts w:hint="eastAsia" w:ascii="宋体" w:hAnsi="宋体" w:cs="宋体"/>
          <w:b/>
          <w:bCs/>
          <w:color w:val="auto"/>
          <w:sz w:val="21"/>
          <w:szCs w:val="21"/>
          <w:highlight w:val="none"/>
          <w:lang w:val="en-US" w:eastAsia="zh-CN"/>
        </w:rPr>
        <w:t>为长期服务项目，</w:t>
      </w:r>
      <w:r>
        <w:rPr>
          <w:rFonts w:hint="eastAsia" w:ascii="宋体" w:hAnsi="宋体" w:eastAsia="宋体" w:cs="宋体"/>
          <w:b/>
          <w:bCs/>
          <w:color w:val="auto"/>
          <w:sz w:val="21"/>
          <w:szCs w:val="21"/>
          <w:highlight w:val="none"/>
        </w:rPr>
        <w:t>服务期为一年。项目结项时根据验收情况及工作需要，可延长服务期限，合同一年一签，但最长不超过3年。</w:t>
      </w:r>
    </w:p>
    <w:p>
      <w:pPr>
        <w:keepNext w:val="0"/>
        <w:keepLines w:val="0"/>
        <w:pageBreakBefore w:val="0"/>
        <w:widowControl/>
        <w:wordWrap/>
        <w:topLinePunct w:val="0"/>
        <w:bidi w:val="0"/>
        <w:snapToGrid/>
        <w:spacing w:line="440" w:lineRule="exact"/>
        <w:ind w:left="0" w:firstLine="422"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cs="宋体"/>
          <w:b/>
          <w:bCs/>
          <w:color w:val="auto"/>
          <w:sz w:val="21"/>
          <w:szCs w:val="21"/>
          <w:highlight w:val="none"/>
          <w:lang w:eastAsia="zh-CN"/>
        </w:rPr>
        <w:t>二、</w:t>
      </w:r>
      <w:r>
        <w:rPr>
          <w:rFonts w:hint="eastAsia" w:ascii="宋体" w:hAnsi="宋体" w:eastAsia="宋体" w:cs="宋体"/>
          <w:b/>
          <w:bCs/>
          <w:color w:val="auto"/>
          <w:sz w:val="21"/>
          <w:szCs w:val="21"/>
          <w:highlight w:val="none"/>
        </w:rPr>
        <w:t>服务地点：</w:t>
      </w:r>
      <w:r>
        <w:rPr>
          <w:rFonts w:hint="eastAsia" w:ascii="宋体" w:hAnsi="宋体" w:eastAsia="宋体" w:cs="宋体"/>
          <w:b w:val="0"/>
          <w:bCs w:val="0"/>
          <w:color w:val="auto"/>
          <w:sz w:val="21"/>
          <w:szCs w:val="21"/>
          <w:highlight w:val="none"/>
        </w:rPr>
        <w:t>市残联</w:t>
      </w:r>
      <w:r>
        <w:rPr>
          <w:rFonts w:hint="eastAsia" w:ascii="宋体" w:hAnsi="宋体" w:cs="宋体"/>
          <w:b w:val="0"/>
          <w:bCs w:val="0"/>
          <w:color w:val="auto"/>
          <w:sz w:val="21"/>
          <w:szCs w:val="21"/>
          <w:highlight w:val="none"/>
          <w:lang w:eastAsia="zh-CN"/>
        </w:rPr>
        <w:t>。</w:t>
      </w:r>
    </w:p>
    <w:p>
      <w:pPr>
        <w:keepNext w:val="0"/>
        <w:keepLines w:val="0"/>
        <w:pageBreakBefore w:val="0"/>
        <w:widowControl/>
        <w:wordWrap/>
        <w:topLinePunct w:val="0"/>
        <w:bidi w:val="0"/>
        <w:snapToGrid/>
        <w:spacing w:line="440" w:lineRule="exact"/>
        <w:ind w:left="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eastAsia="zh-CN"/>
        </w:rPr>
        <w:t>三、</w:t>
      </w:r>
      <w:r>
        <w:rPr>
          <w:rFonts w:hint="eastAsia" w:ascii="宋体" w:hAnsi="宋体" w:eastAsia="宋体" w:cs="宋体"/>
          <w:b/>
          <w:bCs/>
          <w:color w:val="auto"/>
          <w:sz w:val="21"/>
          <w:szCs w:val="21"/>
          <w:highlight w:val="none"/>
        </w:rPr>
        <w:t>报价要求：</w:t>
      </w:r>
    </w:p>
    <w:p>
      <w:pPr>
        <w:keepNext w:val="0"/>
        <w:keepLines w:val="0"/>
        <w:pageBreakBefore w:val="0"/>
        <w:widowControl/>
        <w:wordWrap/>
        <w:topLinePunct w:val="0"/>
        <w:bidi w:val="0"/>
        <w:snapToGrid/>
        <w:spacing w:line="440" w:lineRule="exact"/>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pPr>
        <w:keepNext w:val="0"/>
        <w:keepLines w:val="0"/>
        <w:pageBreakBefore w:val="0"/>
        <w:widowControl/>
        <w:wordWrap/>
        <w:topLinePunct w:val="0"/>
        <w:bidi w:val="0"/>
        <w:snapToGrid/>
        <w:spacing w:line="440" w:lineRule="exact"/>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2.投标供应商应当根据本企业的成本自行决定报价，但不得以低于其企业成本的报价投标。</w:t>
      </w:r>
    </w:p>
    <w:p>
      <w:pPr>
        <w:keepNext w:val="0"/>
        <w:keepLines w:val="0"/>
        <w:pageBreakBefore w:val="0"/>
        <w:widowControl/>
        <w:wordWrap/>
        <w:topLinePunct w:val="0"/>
        <w:bidi w:val="0"/>
        <w:snapToGrid/>
        <w:spacing w:line="440" w:lineRule="exact"/>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3.投标供应商的报价不得超过项目预算金额。</w:t>
      </w:r>
    </w:p>
    <w:p>
      <w:pPr>
        <w:keepNext w:val="0"/>
        <w:keepLines w:val="0"/>
        <w:pageBreakBefore w:val="0"/>
        <w:widowControl/>
        <w:wordWrap/>
        <w:topLinePunct w:val="0"/>
        <w:bidi w:val="0"/>
        <w:snapToGrid/>
        <w:spacing w:line="440" w:lineRule="exact"/>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4.投标供应商的报价，应当是本项目采购范围和采购文件及合同条款上所列的各项内容中所述的全部，不得以任何理由予以重复。</w:t>
      </w:r>
    </w:p>
    <w:p>
      <w:pPr>
        <w:keepNext w:val="0"/>
        <w:keepLines w:val="0"/>
        <w:pageBreakBefore w:val="0"/>
        <w:widowControl/>
        <w:wordWrap/>
        <w:topLinePunct w:val="0"/>
        <w:bidi w:val="0"/>
        <w:snapToGrid/>
        <w:spacing w:line="440" w:lineRule="exact"/>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5.除非采购人通过修改采购文件予以更正，否则，投标供应商应毫无例外地按响应文件所列的清单中项目和数量 填报价格。</w:t>
      </w:r>
    </w:p>
    <w:p>
      <w:pPr>
        <w:keepNext w:val="0"/>
        <w:keepLines w:val="0"/>
        <w:pageBreakBefore w:val="0"/>
        <w:widowControl/>
        <w:wordWrap/>
        <w:topLinePunct w:val="0"/>
        <w:bidi w:val="0"/>
        <w:snapToGrid/>
        <w:spacing w:line="440" w:lineRule="exact"/>
        <w:ind w:left="0"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lang w:eastAsia="zh-CN"/>
        </w:rPr>
        <w:t>四、</w:t>
      </w:r>
      <w:r>
        <w:rPr>
          <w:rFonts w:hint="eastAsia" w:ascii="宋体" w:hAnsi="宋体" w:eastAsia="宋体" w:cs="宋体"/>
          <w:b/>
          <w:bCs/>
          <w:color w:val="auto"/>
          <w:sz w:val="21"/>
          <w:szCs w:val="21"/>
          <w:highlight w:val="none"/>
        </w:rPr>
        <w:t>付款方式：</w:t>
      </w:r>
      <w:r>
        <w:rPr>
          <w:rFonts w:hint="eastAsia" w:ascii="宋体" w:hAnsi="宋体" w:eastAsia="宋体" w:cs="宋体"/>
          <w:b w:val="0"/>
          <w:bCs w:val="0"/>
          <w:color w:val="auto"/>
          <w:sz w:val="21"/>
          <w:szCs w:val="21"/>
          <w:highlight w:val="none"/>
        </w:rPr>
        <w:t>具体按照合同签订时双方约定付款方式。</w:t>
      </w:r>
    </w:p>
    <w:p>
      <w:pPr>
        <w:keepNext w:val="0"/>
        <w:keepLines w:val="0"/>
        <w:pageBreakBefore w:val="0"/>
        <w:widowControl/>
        <w:wordWrap/>
        <w:topLinePunct w:val="0"/>
        <w:bidi w:val="0"/>
        <w:snapToGrid/>
        <w:spacing w:line="440" w:lineRule="exact"/>
        <w:ind w:left="0"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lang w:eastAsia="zh-CN"/>
        </w:rPr>
        <w:t>五、</w:t>
      </w:r>
      <w:r>
        <w:rPr>
          <w:rFonts w:hint="eastAsia" w:ascii="宋体" w:hAnsi="宋体" w:eastAsia="宋体" w:cs="宋体"/>
          <w:b/>
          <w:bCs/>
          <w:color w:val="auto"/>
          <w:sz w:val="21"/>
          <w:szCs w:val="21"/>
          <w:highlight w:val="none"/>
        </w:rPr>
        <w:t>违约责任：</w:t>
      </w:r>
      <w:r>
        <w:rPr>
          <w:rFonts w:hint="eastAsia" w:ascii="宋体" w:hAnsi="宋体" w:eastAsia="宋体" w:cs="宋体"/>
          <w:b w:val="0"/>
          <w:bCs w:val="0"/>
          <w:color w:val="auto"/>
          <w:sz w:val="21"/>
          <w:szCs w:val="21"/>
          <w:highlight w:val="none"/>
        </w:rPr>
        <w:t>以合同签订的违约责任确定。</w:t>
      </w:r>
    </w:p>
    <w:p>
      <w:pPr>
        <w:keepNext w:val="0"/>
        <w:keepLines w:val="0"/>
        <w:pageBreakBefore w:val="0"/>
        <w:widowControl/>
        <w:wordWrap/>
        <w:topLinePunct w:val="0"/>
        <w:bidi w:val="0"/>
        <w:snapToGrid/>
        <w:spacing w:line="440" w:lineRule="exact"/>
        <w:ind w:left="0"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lang w:eastAsia="zh-CN"/>
        </w:rPr>
        <w:t>六、保密要求</w:t>
      </w: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rPr>
        <w:t>签署保密协议，保守本单位的秘密,除法律规定和本单位领导人同意外,不得私自向外界提供或者泄露本单位的政务信息和残疾人个人信息等</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199"/>
        <w:textAlignment w:val="auto"/>
        <w:rPr>
          <w:rFonts w:ascii="宋体" w:hAnsi="宋体"/>
          <w:b/>
          <w:color w:val="auto"/>
          <w:szCs w:val="21"/>
          <w:highlight w:val="none"/>
        </w:rPr>
      </w:pPr>
    </w:p>
    <w:p>
      <w:pPr>
        <w:keepNext w:val="0"/>
        <w:keepLines w:val="0"/>
        <w:pageBreakBefore w:val="0"/>
        <w:widowControl w:val="0"/>
        <w:kinsoku/>
        <w:wordWrap/>
        <w:overflowPunct/>
        <w:topLinePunct w:val="0"/>
        <w:bidi w:val="0"/>
        <w:snapToGrid/>
        <w:jc w:val="center"/>
        <w:outlineLvl w:val="1"/>
        <w:rPr>
          <w:rFonts w:hint="eastAsia" w:ascii="微软雅黑" w:hAnsi="微软雅黑" w:eastAsia="微软雅黑" w:cs="微软雅黑"/>
          <w:b/>
          <w:bCs/>
          <w:caps/>
          <w:color w:val="auto"/>
          <w:sz w:val="24"/>
          <w:szCs w:val="24"/>
          <w:highlight w:val="none"/>
        </w:rPr>
      </w:pPr>
      <w:bookmarkStart w:id="5" w:name="_Toc353262376"/>
      <w:bookmarkStart w:id="6" w:name="_Toc27266"/>
      <w:bookmarkStart w:id="7" w:name="_Toc333420706"/>
      <w:r>
        <w:rPr>
          <w:rFonts w:hint="eastAsia" w:ascii="微软雅黑" w:hAnsi="微软雅黑" w:eastAsia="微软雅黑" w:cs="微软雅黑"/>
          <w:b/>
          <w:bCs/>
          <w:caps/>
          <w:color w:val="auto"/>
          <w:sz w:val="24"/>
          <w:szCs w:val="24"/>
          <w:highlight w:val="none"/>
        </w:rPr>
        <w:t>第五节  投标</w:t>
      </w:r>
      <w:r>
        <w:rPr>
          <w:rFonts w:hint="eastAsia" w:ascii="微软雅黑" w:hAnsi="微软雅黑" w:eastAsia="微软雅黑" w:cs="微软雅黑"/>
          <w:b/>
          <w:bCs/>
          <w:color w:val="auto"/>
          <w:sz w:val="24"/>
          <w:szCs w:val="24"/>
          <w:highlight w:val="none"/>
        </w:rPr>
        <w:t>文件</w:t>
      </w:r>
      <w:r>
        <w:rPr>
          <w:rFonts w:hint="eastAsia" w:ascii="微软雅黑" w:hAnsi="微软雅黑" w:eastAsia="微软雅黑" w:cs="微软雅黑"/>
          <w:b/>
          <w:bCs/>
          <w:caps/>
          <w:color w:val="auto"/>
          <w:sz w:val="24"/>
          <w:szCs w:val="24"/>
          <w:highlight w:val="none"/>
        </w:rPr>
        <w:t>否决性条款摘要</w:t>
      </w:r>
      <w:bookmarkEnd w:id="5"/>
      <w:bookmarkEnd w:id="6"/>
      <w:bookmarkEnd w:id="7"/>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b/>
          <w:color w:val="auto"/>
          <w:szCs w:val="21"/>
          <w:highlight w:val="none"/>
        </w:rPr>
      </w:pPr>
      <w:r>
        <w:rPr>
          <w:rFonts w:ascii="宋体" w:hAnsi="宋体"/>
          <w:b/>
          <w:color w:val="auto"/>
          <w:highlight w:val="none"/>
        </w:rPr>
        <w:t>1、</w:t>
      </w:r>
      <w:r>
        <w:rPr>
          <w:rFonts w:ascii="宋体" w:hAnsi="宋体"/>
          <w:b/>
          <w:color w:val="auto"/>
          <w:szCs w:val="21"/>
          <w:highlight w:val="none"/>
        </w:rPr>
        <w:t>投标文件有下列情形之一的，不予受理：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olor w:val="auto"/>
          <w:szCs w:val="21"/>
          <w:highlight w:val="none"/>
        </w:rPr>
      </w:pPr>
      <w:r>
        <w:rPr>
          <w:rFonts w:ascii="宋体" w:hAnsi="宋体"/>
          <w:color w:val="auto"/>
          <w:highlight w:val="none"/>
        </w:rPr>
        <w:t xml:space="preserve">1.1  </w:t>
      </w:r>
      <w:r>
        <w:rPr>
          <w:rFonts w:ascii="宋体" w:hAnsi="宋体"/>
          <w:color w:val="auto"/>
          <w:szCs w:val="21"/>
          <w:highlight w:val="none"/>
        </w:rPr>
        <w:t>在投标截止时间以后送达的，或者未送达指定地点的；</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olor w:val="auto"/>
          <w:highlight w:val="none"/>
        </w:rPr>
      </w:pPr>
      <w:r>
        <w:rPr>
          <w:rFonts w:ascii="宋体" w:hAnsi="宋体"/>
          <w:color w:val="auto"/>
          <w:highlight w:val="none"/>
        </w:rPr>
        <w:t xml:space="preserve">1.2  </w:t>
      </w:r>
      <w:r>
        <w:rPr>
          <w:rFonts w:hint="eastAsia" w:ascii="宋体" w:hAnsi="宋体"/>
          <w:color w:val="auto"/>
          <w:highlight w:val="none"/>
        </w:rPr>
        <w:t>投标文件未密封的；</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b/>
          <w:color w:val="auto"/>
          <w:szCs w:val="21"/>
          <w:highlight w:val="none"/>
        </w:rPr>
      </w:pPr>
      <w:r>
        <w:rPr>
          <w:rFonts w:hint="eastAsia" w:ascii="宋体" w:hAnsi="宋体"/>
          <w:color w:val="auto"/>
          <w:highlight w:val="none"/>
        </w:rPr>
        <w:t xml:space="preserve">1.3  </w:t>
      </w:r>
      <w:r>
        <w:rPr>
          <w:rFonts w:ascii="宋体" w:hAnsi="宋体"/>
          <w:color w:val="auto"/>
          <w:szCs w:val="21"/>
          <w:highlight w:val="none"/>
        </w:rPr>
        <w:t>投标人的名称与</w:t>
      </w:r>
      <w:bookmarkStart w:id="8" w:name="_Toc76871384"/>
      <w:r>
        <w:rPr>
          <w:rFonts w:ascii="宋体" w:hAnsi="宋体"/>
          <w:color w:val="auto"/>
          <w:szCs w:val="21"/>
          <w:highlight w:val="none"/>
        </w:rPr>
        <w:t>购买招标文件时登记</w:t>
      </w:r>
      <w:bookmarkEnd w:id="8"/>
      <w:r>
        <w:rPr>
          <w:rFonts w:ascii="宋体" w:hAnsi="宋体"/>
          <w:color w:val="auto"/>
          <w:szCs w:val="21"/>
          <w:highlight w:val="none"/>
        </w:rPr>
        <w:t>的不一致的。</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b/>
          <w:color w:val="auto"/>
          <w:szCs w:val="21"/>
          <w:highlight w:val="none"/>
        </w:rPr>
      </w:pPr>
      <w:r>
        <w:rPr>
          <w:rFonts w:ascii="宋体" w:hAnsi="宋体"/>
          <w:b/>
          <w:color w:val="auto"/>
          <w:highlight w:val="none"/>
        </w:rPr>
        <w:t>2</w:t>
      </w:r>
      <w:r>
        <w:rPr>
          <w:rFonts w:hint="eastAsia" w:ascii="宋体" w:hAnsi="宋体"/>
          <w:b/>
          <w:color w:val="auto"/>
          <w:highlight w:val="none"/>
        </w:rPr>
        <w:t>、</w:t>
      </w:r>
      <w:r>
        <w:rPr>
          <w:rFonts w:ascii="宋体" w:hAnsi="宋体"/>
          <w:b/>
          <w:color w:val="auto"/>
          <w:szCs w:val="21"/>
          <w:highlight w:val="none"/>
        </w:rPr>
        <w:t>投标文件有下列</w:t>
      </w:r>
      <w:r>
        <w:rPr>
          <w:rFonts w:hint="eastAsia" w:ascii="宋体" w:hAnsi="宋体"/>
          <w:b/>
          <w:color w:val="auto"/>
          <w:szCs w:val="21"/>
          <w:highlight w:val="none"/>
        </w:rPr>
        <w:t>情形之一的，按无效标处理：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olor w:val="auto"/>
          <w:szCs w:val="21"/>
          <w:highlight w:val="none"/>
        </w:rPr>
      </w:pPr>
      <w:r>
        <w:rPr>
          <w:rFonts w:hint="eastAsia" w:ascii="宋体" w:hAnsi="宋体"/>
          <w:color w:val="auto"/>
          <w:highlight w:val="none"/>
        </w:rPr>
        <w:t xml:space="preserve">2.1  </w:t>
      </w:r>
      <w:r>
        <w:rPr>
          <w:rFonts w:hint="eastAsia" w:ascii="宋体" w:hAnsi="宋体"/>
          <w:color w:val="auto"/>
          <w:szCs w:val="21"/>
          <w:highlight w:val="none"/>
        </w:rPr>
        <w:t>投标人未按照招标文件的要求提供投标保证金的；</w:t>
      </w:r>
      <w:r>
        <w:rPr>
          <w:rFonts w:ascii="宋体" w:hAnsi="宋体"/>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2.2  投标文件无法定代表人签字或盖章，或签字人无法定代表人有效授权委托书原件的；</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2.3  投标人资格条件不符合国家有关规定和招标文件要求；</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2.4  投标总价或分项报价超过预算控制金额的；</w:t>
      </w:r>
      <w:r>
        <w:rPr>
          <w:rFonts w:ascii="宋体" w:hAnsi="宋体"/>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2.5  开标一览表出现无报价或报价为零或有选择性报价的；</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 xml:space="preserve">2.6  </w:t>
      </w:r>
      <w:r>
        <w:rPr>
          <w:rFonts w:hint="eastAsia" w:ascii="宋体" w:hAnsi="宋体"/>
          <w:color w:val="auto"/>
          <w:spacing w:val="-2"/>
          <w:szCs w:val="21"/>
          <w:highlight w:val="none"/>
        </w:rPr>
        <w:t>投标人以他人的名义投标、串通投标、以行贿手段谋取中标或者以其他弄虚作假方式投标；</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 xml:space="preserve">2.7  </w:t>
      </w:r>
      <w:r>
        <w:rPr>
          <w:rFonts w:hint="eastAsia" w:ascii="宋体" w:hAnsi="宋体"/>
          <w:color w:val="auto"/>
          <w:spacing w:val="-2"/>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2.8  投标人拒不按照要求对投标文件进行澄清、说明或者补正的；</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2.9  文件的关键内容字迹模糊、无法辨认的；</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2.10  投标函未按规定填写的；</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2.11  投标有效期不足的；</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 xml:space="preserve">2.12  </w:t>
      </w:r>
      <w:r>
        <w:rPr>
          <w:rFonts w:hint="eastAsia" w:ascii="宋体" w:hAnsi="宋体"/>
          <w:color w:val="auto"/>
          <w:spacing w:val="-6"/>
          <w:szCs w:val="21"/>
          <w:highlight w:val="none"/>
        </w:rPr>
        <w:t>投标人的投标未能在实质上响应招标文件提出的所有实质性要求和条件（不可偏离条款）的；</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 xml:space="preserve">2.13  </w:t>
      </w:r>
      <w:r>
        <w:rPr>
          <w:rFonts w:ascii="宋体" w:hAnsi="宋体"/>
          <w:color w:val="auto"/>
          <w:szCs w:val="21"/>
          <w:highlight w:val="none"/>
        </w:rPr>
        <w:t>投标报价有严重缺漏项目的</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2.14  联合体投标未附联合体各方共同投标协议的；联合体成员</w:t>
      </w:r>
      <w:r>
        <w:rPr>
          <w:rFonts w:ascii="宋体" w:hAnsi="宋体"/>
          <w:color w:val="auto"/>
          <w:szCs w:val="21"/>
          <w:highlight w:val="none"/>
        </w:rPr>
        <w:t>再以自己名义单独投标，</w:t>
      </w:r>
      <w:r>
        <w:rPr>
          <w:rFonts w:hint="eastAsia" w:ascii="宋体" w:hAnsi="宋体"/>
          <w:color w:val="auto"/>
          <w:szCs w:val="21"/>
          <w:highlight w:val="none"/>
        </w:rPr>
        <w:t>及</w:t>
      </w:r>
      <w:r>
        <w:rPr>
          <w:rFonts w:ascii="宋体" w:hAnsi="宋体"/>
          <w:color w:val="auto"/>
          <w:szCs w:val="21"/>
          <w:highlight w:val="none"/>
        </w:rPr>
        <w:t>组成或参加其他联合体在同一项目中投标</w:t>
      </w:r>
      <w:r>
        <w:rPr>
          <w:rFonts w:hint="eastAsia" w:ascii="宋体" w:hAnsi="宋体"/>
          <w:color w:val="auto"/>
          <w:szCs w:val="21"/>
          <w:highlight w:val="none"/>
        </w:rPr>
        <w:t>的；</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 xml:space="preserve">2.15  </w:t>
      </w:r>
      <w:r>
        <w:rPr>
          <w:rFonts w:ascii="宋体" w:hAnsi="宋体"/>
          <w:color w:val="auto"/>
          <w:szCs w:val="21"/>
          <w:highlight w:val="none"/>
        </w:rPr>
        <w:t>投标人递交两份或多份内容不同</w:t>
      </w:r>
      <w:r>
        <w:rPr>
          <w:rFonts w:hint="eastAsia" w:ascii="宋体" w:hAnsi="宋体"/>
          <w:color w:val="auto"/>
          <w:szCs w:val="21"/>
          <w:highlight w:val="none"/>
        </w:rPr>
        <w:t>投标方案（</w:t>
      </w:r>
      <w:r>
        <w:rPr>
          <w:rFonts w:ascii="宋体" w:hAnsi="宋体"/>
          <w:color w:val="auto"/>
          <w:szCs w:val="21"/>
          <w:highlight w:val="none"/>
        </w:rPr>
        <w:t>招标文件规定提交备选投标方案的除外</w:t>
      </w:r>
      <w:r>
        <w:rPr>
          <w:rFonts w:hint="eastAsia" w:ascii="宋体" w:hAnsi="宋体"/>
          <w:color w:val="auto"/>
          <w:szCs w:val="21"/>
          <w:highlight w:val="none"/>
        </w:rPr>
        <w:t>）</w:t>
      </w:r>
      <w:r>
        <w:rPr>
          <w:rFonts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2.16  投标文件只对</w:t>
      </w:r>
      <w:r>
        <w:rPr>
          <w:rFonts w:ascii="宋体" w:hAnsi="宋体"/>
          <w:color w:val="auto"/>
          <w:szCs w:val="21"/>
          <w:highlight w:val="none"/>
        </w:rPr>
        <w:t>同一</w:t>
      </w:r>
      <w:r>
        <w:rPr>
          <w:rFonts w:hint="eastAsia" w:ascii="宋体" w:hAnsi="宋体"/>
          <w:color w:val="auto"/>
          <w:szCs w:val="21"/>
          <w:highlight w:val="none"/>
        </w:rPr>
        <w:t>项目</w:t>
      </w:r>
      <w:r>
        <w:rPr>
          <w:rFonts w:ascii="宋体" w:hAnsi="宋体"/>
          <w:color w:val="auto"/>
          <w:szCs w:val="21"/>
          <w:highlight w:val="none"/>
        </w:rPr>
        <w:t>包中的</w:t>
      </w:r>
      <w:r>
        <w:rPr>
          <w:rFonts w:hint="eastAsia" w:ascii="宋体" w:hAnsi="宋体"/>
          <w:color w:val="auto"/>
          <w:szCs w:val="21"/>
          <w:highlight w:val="none"/>
        </w:rPr>
        <w:t>部分</w:t>
      </w:r>
      <w:r>
        <w:rPr>
          <w:rFonts w:ascii="宋体" w:hAnsi="宋体"/>
          <w:color w:val="auto"/>
          <w:szCs w:val="21"/>
          <w:highlight w:val="none"/>
        </w:rPr>
        <w:t>内容</w:t>
      </w:r>
      <w:r>
        <w:rPr>
          <w:rFonts w:hint="eastAsia" w:ascii="宋体" w:hAnsi="宋体"/>
          <w:color w:val="auto"/>
          <w:szCs w:val="21"/>
          <w:highlight w:val="none"/>
        </w:rPr>
        <w:t>投标，或把</w:t>
      </w:r>
      <w:r>
        <w:rPr>
          <w:rFonts w:ascii="宋体" w:hAnsi="宋体"/>
          <w:color w:val="auto"/>
          <w:szCs w:val="21"/>
          <w:highlight w:val="none"/>
        </w:rPr>
        <w:t>同一</w:t>
      </w:r>
      <w:r>
        <w:rPr>
          <w:rFonts w:hint="eastAsia" w:ascii="宋体" w:hAnsi="宋体"/>
          <w:color w:val="auto"/>
          <w:szCs w:val="21"/>
          <w:highlight w:val="none"/>
        </w:rPr>
        <w:t>项目</w:t>
      </w:r>
      <w:r>
        <w:rPr>
          <w:rFonts w:ascii="宋体" w:hAnsi="宋体"/>
          <w:color w:val="auto"/>
          <w:szCs w:val="21"/>
          <w:highlight w:val="none"/>
        </w:rPr>
        <w:t>包中</w:t>
      </w:r>
      <w:r>
        <w:rPr>
          <w:rFonts w:hint="eastAsia" w:ascii="宋体" w:hAnsi="宋体"/>
          <w:color w:val="auto"/>
          <w:szCs w:val="21"/>
          <w:highlight w:val="none"/>
        </w:rPr>
        <w:t>的内容拆开的投标；</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2.17  评标委员会根据招标文件的规定对投标文件的计算错误进行修正，投标人不接受修正后的投标报价的；</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2.18  投标文件符合法律、法规及</w:t>
      </w:r>
      <w:r>
        <w:rPr>
          <w:rFonts w:hint="eastAsia" w:ascii="宋体" w:hAnsi="宋体"/>
          <w:color w:val="auto"/>
          <w:highlight w:val="none"/>
        </w:rPr>
        <w:t>招标文件中规定的其他否决因素的。</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黑体" w:hAnsi="宋体" w:eastAsia="黑体"/>
          <w:bCs/>
          <w:color w:val="auto"/>
          <w:sz w:val="24"/>
          <w:szCs w:val="24"/>
          <w:highlight w:val="none"/>
        </w:rPr>
      </w:pPr>
    </w:p>
    <w:p>
      <w:pPr>
        <w:keepNext w:val="0"/>
        <w:keepLines w:val="0"/>
        <w:pageBreakBefore w:val="0"/>
        <w:widowControl w:val="0"/>
        <w:kinsoku/>
        <w:wordWrap/>
        <w:overflowPunct/>
        <w:topLinePunct w:val="0"/>
        <w:bidi w:val="0"/>
        <w:snapToGrid/>
        <w:jc w:val="center"/>
        <w:outlineLvl w:val="1"/>
        <w:rPr>
          <w:rFonts w:hint="eastAsia" w:ascii="微软雅黑" w:hAnsi="微软雅黑" w:eastAsia="微软雅黑" w:cs="微软雅黑"/>
          <w:b/>
          <w:bCs w:val="0"/>
          <w:color w:val="auto"/>
          <w:sz w:val="24"/>
          <w:szCs w:val="24"/>
          <w:highlight w:val="none"/>
        </w:rPr>
      </w:pPr>
      <w:bookmarkStart w:id="9" w:name="_Toc4737"/>
      <w:r>
        <w:rPr>
          <w:rFonts w:hint="eastAsia" w:ascii="微软雅黑" w:hAnsi="微软雅黑" w:eastAsia="微软雅黑" w:cs="微软雅黑"/>
          <w:b/>
          <w:bCs w:val="0"/>
          <w:color w:val="auto"/>
          <w:sz w:val="24"/>
          <w:szCs w:val="24"/>
          <w:highlight w:val="none"/>
        </w:rPr>
        <w:t>第六节  评标方法及程序</w:t>
      </w:r>
      <w:bookmarkEnd w:id="9"/>
    </w:p>
    <w:p>
      <w:pPr>
        <w:keepNext w:val="0"/>
        <w:keepLines w:val="0"/>
        <w:pageBreakBefore w:val="0"/>
        <w:widowControl w:val="0"/>
        <w:kinsoku/>
        <w:wordWrap/>
        <w:overflowPunct/>
        <w:topLinePunct w:val="0"/>
        <w:bidi w:val="0"/>
        <w:snapToGrid/>
        <w:spacing w:line="36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一、本项目评标及定标方法</w:t>
      </w:r>
    </w:p>
    <w:tbl>
      <w:tblPr>
        <w:tblStyle w:val="5"/>
        <w:tblW w:w="9040"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70"/>
        <w:gridCol w:w="1736"/>
        <w:gridCol w:w="65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7" w:hRule="atLeast"/>
          <w:tblHeader/>
          <w:jc w:val="center"/>
        </w:trPr>
        <w:tc>
          <w:tcPr>
            <w:tcW w:w="7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Theme="minorEastAsia" w:cstheme="minorBidi"/>
                <w:b/>
                <w:bCs/>
                <w:color w:val="auto"/>
                <w:szCs w:val="21"/>
                <w:highlight w:val="none"/>
              </w:rPr>
            </w:pPr>
            <w:r>
              <w:rPr>
                <w:rFonts w:hint="eastAsia" w:ascii="宋体" w:hAnsi="宋体" w:eastAsiaTheme="minorEastAsia" w:cstheme="minorBidi"/>
                <w:b/>
                <w:bCs/>
                <w:color w:val="auto"/>
                <w:szCs w:val="21"/>
                <w:highlight w:val="none"/>
              </w:rPr>
              <w:t>序号</w:t>
            </w:r>
          </w:p>
        </w:tc>
        <w:tc>
          <w:tcPr>
            <w:tcW w:w="17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Theme="minorEastAsia" w:cstheme="minorBidi"/>
                <w:b/>
                <w:bCs/>
                <w:color w:val="auto"/>
                <w:szCs w:val="21"/>
                <w:highlight w:val="none"/>
              </w:rPr>
            </w:pPr>
            <w:r>
              <w:rPr>
                <w:rFonts w:hint="eastAsia" w:ascii="宋体" w:hAnsi="宋体" w:eastAsiaTheme="minorEastAsia" w:cstheme="minorBidi"/>
                <w:b/>
                <w:bCs/>
                <w:color w:val="auto"/>
                <w:szCs w:val="21"/>
                <w:highlight w:val="none"/>
              </w:rPr>
              <w:t>项目</w:t>
            </w:r>
          </w:p>
        </w:tc>
        <w:tc>
          <w:tcPr>
            <w:tcW w:w="653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Theme="minorEastAsia" w:cstheme="minorBidi"/>
                <w:b/>
                <w:bCs/>
                <w:color w:val="auto"/>
                <w:szCs w:val="21"/>
                <w:highlight w:val="none"/>
              </w:rPr>
            </w:pPr>
            <w:r>
              <w:rPr>
                <w:rFonts w:hint="eastAsia" w:ascii="宋体" w:hAnsi="宋体" w:eastAsiaTheme="minorEastAsia" w:cstheme="minorBidi"/>
                <w:b/>
                <w:bCs/>
                <w:color w:val="auto"/>
                <w:szCs w:val="21"/>
                <w:highlight w:val="none"/>
              </w:rPr>
              <w:t>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7" w:hRule="atLeast"/>
          <w:jc w:val="center"/>
        </w:trPr>
        <w:tc>
          <w:tcPr>
            <w:tcW w:w="7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Theme="minorEastAsia" w:cstheme="minorBidi"/>
                <w:bCs/>
                <w:color w:val="auto"/>
                <w:szCs w:val="21"/>
                <w:highlight w:val="none"/>
              </w:rPr>
            </w:pPr>
            <w:r>
              <w:rPr>
                <w:rFonts w:hint="eastAsia" w:ascii="宋体" w:hAnsi="宋体" w:eastAsiaTheme="minorEastAsia" w:cstheme="minorBidi"/>
                <w:bCs/>
                <w:color w:val="auto"/>
                <w:szCs w:val="21"/>
                <w:highlight w:val="none"/>
              </w:rPr>
              <w:t>1</w:t>
            </w:r>
          </w:p>
        </w:tc>
        <w:tc>
          <w:tcPr>
            <w:tcW w:w="17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eastAsiaTheme="minorEastAsia" w:cstheme="minorBidi"/>
                <w:bCs/>
                <w:color w:val="auto"/>
                <w:szCs w:val="21"/>
                <w:highlight w:val="none"/>
              </w:rPr>
            </w:pPr>
            <w:r>
              <w:rPr>
                <w:rFonts w:hint="eastAsia" w:ascii="宋体" w:hAnsi="宋体" w:eastAsiaTheme="minorEastAsia" w:cstheme="minorBidi"/>
                <w:bCs/>
                <w:color w:val="auto"/>
                <w:szCs w:val="21"/>
                <w:highlight w:val="none"/>
              </w:rPr>
              <w:t>定标方式</w:t>
            </w:r>
          </w:p>
        </w:tc>
        <w:tc>
          <w:tcPr>
            <w:tcW w:w="653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eastAsiaTheme="minorEastAsia" w:cstheme="minorBidi"/>
                <w:b/>
                <w:bCs/>
                <w:color w:val="auto"/>
                <w:szCs w:val="21"/>
                <w:highlight w:val="none"/>
              </w:rPr>
            </w:pPr>
            <w:r>
              <w:rPr>
                <w:rFonts w:hint="eastAsia" w:ascii="MS Mincho" w:hAnsi="MS Mincho" w:cs="MS Mincho" w:eastAsiaTheme="minorEastAsia"/>
                <w:snapToGrid w:val="0"/>
                <w:color w:val="auto"/>
                <w:kern w:val="0"/>
                <w:szCs w:val="21"/>
                <w:highlight w:val="none"/>
              </w:rPr>
              <w:t xml:space="preserve">■ </w:t>
            </w:r>
            <w:r>
              <w:rPr>
                <w:rFonts w:hint="eastAsia" w:ascii="宋体" w:hAnsi="宋体" w:eastAsiaTheme="minorEastAsia" w:cstheme="minorBidi"/>
                <w:color w:val="auto"/>
                <w:szCs w:val="21"/>
                <w:highlight w:val="none"/>
              </w:rPr>
              <w:t xml:space="preserve">授权评标委员会确定中标单位   </w:t>
            </w:r>
            <w:r>
              <w:rPr>
                <w:rFonts w:hint="eastAsia" w:ascii="宋体" w:hAnsi="宋体" w:eastAsiaTheme="minorEastAsia" w:cstheme="minorBidi"/>
                <w:snapToGrid w:val="0"/>
                <w:color w:val="auto"/>
                <w:kern w:val="0"/>
                <w:szCs w:val="21"/>
                <w:highlight w:val="none"/>
              </w:rPr>
              <w:t xml:space="preserve">□ </w:t>
            </w:r>
            <w:r>
              <w:rPr>
                <w:rFonts w:hint="eastAsia" w:asciiTheme="minorHAnsi" w:hAnsiTheme="minorHAnsi" w:eastAsiaTheme="minorEastAsia" w:cstheme="minorBidi"/>
                <w:color w:val="auto"/>
                <w:szCs w:val="22"/>
                <w:highlight w:val="none"/>
              </w:rPr>
              <w:t>评标和定标分离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7" w:hRule="atLeast"/>
          <w:jc w:val="center"/>
        </w:trPr>
        <w:tc>
          <w:tcPr>
            <w:tcW w:w="7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Theme="minorEastAsia" w:cstheme="minorBidi"/>
                <w:bCs/>
                <w:color w:val="auto"/>
                <w:szCs w:val="21"/>
                <w:highlight w:val="none"/>
              </w:rPr>
            </w:pPr>
            <w:r>
              <w:rPr>
                <w:rFonts w:hint="eastAsia" w:ascii="宋体" w:hAnsi="宋体" w:eastAsiaTheme="minorEastAsia" w:cstheme="minorBidi"/>
                <w:bCs/>
                <w:color w:val="auto"/>
                <w:szCs w:val="21"/>
                <w:highlight w:val="none"/>
              </w:rPr>
              <w:t>2</w:t>
            </w:r>
          </w:p>
        </w:tc>
        <w:tc>
          <w:tcPr>
            <w:tcW w:w="17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eastAsiaTheme="minorEastAsia" w:cstheme="minorBidi"/>
                <w:bCs/>
                <w:color w:val="auto"/>
                <w:szCs w:val="21"/>
                <w:highlight w:val="none"/>
              </w:rPr>
            </w:pPr>
            <w:r>
              <w:rPr>
                <w:rFonts w:hint="eastAsia" w:ascii="宋体" w:hAnsi="宋体" w:eastAsiaTheme="minorEastAsia" w:cstheme="minorBidi"/>
                <w:bCs/>
                <w:color w:val="auto"/>
                <w:szCs w:val="21"/>
                <w:highlight w:val="none"/>
              </w:rPr>
              <w:t>评标方法</w:t>
            </w:r>
          </w:p>
        </w:tc>
        <w:tc>
          <w:tcPr>
            <w:tcW w:w="653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eastAsiaTheme="minorEastAsia" w:cstheme="minorBidi"/>
                <w:b/>
                <w:bCs/>
                <w:color w:val="auto"/>
                <w:szCs w:val="21"/>
                <w:highlight w:val="none"/>
              </w:rPr>
            </w:pPr>
            <w:r>
              <w:rPr>
                <w:rFonts w:hint="eastAsia" w:ascii="MS Mincho" w:hAnsi="MS Mincho" w:cs="MS Mincho" w:eastAsiaTheme="minorEastAsia"/>
                <w:snapToGrid w:val="0"/>
                <w:color w:val="auto"/>
                <w:kern w:val="0"/>
                <w:szCs w:val="21"/>
                <w:highlight w:val="none"/>
              </w:rPr>
              <w:t xml:space="preserve">■ </w:t>
            </w:r>
            <w:r>
              <w:rPr>
                <w:rFonts w:hint="eastAsia" w:ascii="宋体" w:hAnsi="宋体" w:eastAsiaTheme="minorEastAsia" w:cstheme="minorBidi"/>
                <w:color w:val="auto"/>
                <w:szCs w:val="21"/>
                <w:highlight w:val="none"/>
              </w:rPr>
              <w:t xml:space="preserve">综合评分法    </w:t>
            </w:r>
            <w:r>
              <w:rPr>
                <w:rFonts w:hint="default" w:ascii="宋体" w:hAnsi="宋体" w:eastAsiaTheme="minorEastAsia" w:cstheme="minorBidi"/>
                <w:color w:val="auto"/>
                <w:szCs w:val="21"/>
                <w:highlight w:val="none"/>
              </w:rPr>
              <w:t xml:space="preserve">               </w:t>
            </w:r>
            <w:r>
              <w:rPr>
                <w:rFonts w:hint="eastAsia" w:ascii="宋体" w:hAnsi="宋体" w:eastAsiaTheme="minorEastAsia" w:cstheme="minorBidi"/>
                <w:snapToGrid w:val="0"/>
                <w:color w:val="auto"/>
                <w:kern w:val="0"/>
                <w:szCs w:val="21"/>
                <w:highlight w:val="none"/>
              </w:rPr>
              <w:t xml:space="preserve">□ </w:t>
            </w:r>
            <w:r>
              <w:rPr>
                <w:rFonts w:hint="eastAsia" w:ascii="Calibri" w:hAnsi="Calibri" w:eastAsiaTheme="minorEastAsia" w:cstheme="minorBidi"/>
                <w:color w:val="auto"/>
                <w:szCs w:val="21"/>
                <w:highlight w:val="none"/>
              </w:rPr>
              <w:t>最低价法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7" w:hRule="atLeast"/>
          <w:jc w:val="center"/>
        </w:trPr>
        <w:tc>
          <w:tcPr>
            <w:tcW w:w="7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Theme="minorEastAsia" w:cstheme="minorBidi"/>
                <w:bCs/>
                <w:color w:val="auto"/>
                <w:szCs w:val="21"/>
                <w:highlight w:val="none"/>
              </w:rPr>
            </w:pPr>
            <w:r>
              <w:rPr>
                <w:rFonts w:hint="default" w:ascii="宋体" w:hAnsi="宋体" w:eastAsiaTheme="minorEastAsia" w:cstheme="minorBidi"/>
                <w:bCs/>
                <w:color w:val="auto"/>
                <w:szCs w:val="21"/>
                <w:highlight w:val="none"/>
              </w:rPr>
              <w:t>3</w:t>
            </w:r>
          </w:p>
        </w:tc>
        <w:tc>
          <w:tcPr>
            <w:tcW w:w="17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eastAsiaTheme="minorEastAsia" w:cstheme="minorBidi"/>
                <w:bCs/>
                <w:color w:val="auto"/>
                <w:szCs w:val="21"/>
                <w:highlight w:val="none"/>
              </w:rPr>
            </w:pPr>
            <w:r>
              <w:rPr>
                <w:rFonts w:hint="eastAsia" w:ascii="宋体" w:hAnsi="宋体" w:eastAsiaTheme="minorEastAsia" w:cstheme="minorBidi"/>
                <w:bCs/>
                <w:color w:val="auto"/>
                <w:szCs w:val="21"/>
                <w:highlight w:val="none"/>
              </w:rPr>
              <w:t>价格评审优惠政策</w:t>
            </w:r>
          </w:p>
        </w:tc>
        <w:tc>
          <w:tcPr>
            <w:tcW w:w="653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Theme="majorEastAsia" w:hAnsiTheme="majorEastAsia" w:eastAsiaTheme="majorEastAsia" w:cstheme="majorEastAsia"/>
                <w:color w:val="auto"/>
                <w:szCs w:val="22"/>
                <w:highlight w:val="none"/>
              </w:rPr>
            </w:pPr>
            <w:r>
              <w:rPr>
                <w:rFonts w:hint="eastAsia" w:asciiTheme="majorEastAsia" w:hAnsiTheme="majorEastAsia" w:eastAsiaTheme="majorEastAsia" w:cstheme="majorEastAsia"/>
                <w:color w:val="auto"/>
                <w:szCs w:val="22"/>
                <w:highlight w:val="none"/>
              </w:rPr>
              <w:t>1、小型企业、微型企业、监狱企业、残疾人福利性单位承接服务，对其价格给予</w:t>
            </w:r>
            <w:r>
              <w:rPr>
                <w:rFonts w:hint="eastAsia" w:asciiTheme="majorEastAsia" w:hAnsiTheme="majorEastAsia" w:eastAsiaTheme="majorEastAsia" w:cstheme="majorEastAsia"/>
                <w:color w:val="auto"/>
                <w:szCs w:val="22"/>
                <w:highlight w:val="none"/>
                <w:lang w:val="en-US" w:eastAsia="zh-CN"/>
              </w:rPr>
              <w:t>10</w:t>
            </w:r>
            <w:r>
              <w:rPr>
                <w:rFonts w:hint="eastAsia" w:asciiTheme="majorEastAsia" w:hAnsiTheme="majorEastAsia" w:eastAsiaTheme="majorEastAsia" w:cstheme="majorEastAsia"/>
                <w:color w:val="auto"/>
                <w:szCs w:val="22"/>
                <w:highlight w:val="none"/>
              </w:rPr>
              <w:t>%的扣除，用扣除后的价格参与评审。满足多项优惠政策的企业，不重复享受多项价格扣除政策。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Theme="majorEastAsia" w:hAnsiTheme="majorEastAsia" w:eastAsiaTheme="majorEastAsia" w:cstheme="majorEastAsia"/>
                <w:color w:val="auto"/>
                <w:szCs w:val="22"/>
                <w:highlight w:val="none"/>
              </w:rPr>
            </w:pPr>
            <w:r>
              <w:rPr>
                <w:rFonts w:hint="eastAsia" w:asciiTheme="majorEastAsia" w:hAnsiTheme="majorEastAsia" w:eastAsiaTheme="majorEastAsia" w:cstheme="majorEastAsia"/>
                <w:color w:val="auto"/>
                <w:szCs w:val="22"/>
                <w:highlight w:val="none"/>
              </w:rPr>
              <w:t>2、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2%扣除，用扣除后的价格参加评审。联合体各方均为小微企业的，价格扣除比例为6%。</w:t>
            </w:r>
            <w:r>
              <w:rPr>
                <w:rFonts w:hint="eastAsia" w:asciiTheme="majorEastAsia" w:hAnsiTheme="majorEastAsia" w:eastAsiaTheme="majorEastAsia" w:cstheme="majorEastAsia"/>
                <w:b/>
                <w:color w:val="auto"/>
                <w:szCs w:val="22"/>
                <w:highlight w:val="none"/>
              </w:rPr>
              <w:t>（不接受联合体投标的项目，本条不适用）</w:t>
            </w:r>
            <w:r>
              <w:rPr>
                <w:rFonts w:hint="eastAsia" w:asciiTheme="majorEastAsia" w:hAnsiTheme="majorEastAsia" w:eastAsiaTheme="majorEastAsia" w:cstheme="majorEastAsia"/>
                <w:color w:val="auto"/>
                <w:szCs w:val="22"/>
                <w:highlight w:val="none"/>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eastAsiaTheme="minorEastAsia" w:cstheme="minorBidi"/>
                <w:b/>
                <w:bCs/>
                <w:color w:val="auto"/>
                <w:szCs w:val="21"/>
                <w:highlight w:val="none"/>
              </w:rPr>
            </w:pPr>
            <w:r>
              <w:rPr>
                <w:rFonts w:hint="eastAsia" w:asciiTheme="majorEastAsia" w:hAnsiTheme="majorEastAsia" w:eastAsiaTheme="majorEastAsia" w:cstheme="majorEastAsia"/>
                <w:color w:val="auto"/>
                <w:szCs w:val="22"/>
                <w:highlight w:val="none"/>
              </w:rPr>
              <w:t>3、优惠主体资格的认定资料为《中小企业声明函》《残疾人福利性单位声明函》《监狱企业声明函》等承诺性质的资料（声明函样式见“第五章 投标文件格式”）；监狱企业如需享受优惠政策，除上述资料外，还须提供省级以上监狱管理局、戒毒管理局出具的监狱企业证明文件。</w:t>
            </w:r>
          </w:p>
        </w:tc>
      </w:tr>
    </w:tbl>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b/>
          <w:bCs/>
          <w:color w:val="auto"/>
          <w:szCs w:val="21"/>
          <w:highlight w:val="none"/>
        </w:rPr>
      </w:pPr>
      <w:r>
        <w:rPr>
          <w:rFonts w:hint="eastAsia" w:ascii="宋体" w:hAnsi="宋体"/>
          <w:b/>
          <w:bCs/>
          <w:color w:val="auto"/>
          <w:szCs w:val="21"/>
          <w:highlight w:val="none"/>
        </w:rPr>
        <w:t>备注：</w:t>
      </w:r>
      <w:r>
        <w:rPr>
          <w:rFonts w:hint="eastAsia" w:ascii="宋体" w:hAnsi="宋体"/>
          <w:snapToGrid w:val="0"/>
          <w:color w:val="auto"/>
          <w:kern w:val="0"/>
          <w:szCs w:val="21"/>
          <w:highlight w:val="none"/>
        </w:rPr>
        <w:t>用“</w:t>
      </w:r>
      <w:r>
        <w:rPr>
          <w:rFonts w:hint="eastAsia" w:ascii="MS Mincho" w:hAnsi="MS Mincho" w:cs="MS Mincho" w:eastAsiaTheme="minorEastAsia"/>
          <w:snapToGrid w:val="0"/>
          <w:color w:val="auto"/>
          <w:kern w:val="0"/>
          <w:szCs w:val="21"/>
          <w:highlight w:val="none"/>
        </w:rPr>
        <w:t>■</w:t>
      </w:r>
      <w:r>
        <w:rPr>
          <w:rFonts w:hint="eastAsia" w:ascii="宋体" w:hAnsi="宋体"/>
          <w:snapToGrid w:val="0"/>
          <w:color w:val="auto"/>
          <w:kern w:val="0"/>
          <w:szCs w:val="21"/>
          <w:highlight w:val="none"/>
        </w:rPr>
        <w:t>”标识时表明该选项被采购人选用，用“□”标识时表明该选项未被采购人选用。</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b/>
          <w:bCs/>
          <w:color w:val="auto"/>
          <w:szCs w:val="21"/>
          <w:highlight w:val="none"/>
        </w:rPr>
      </w:pPr>
      <w:r>
        <w:rPr>
          <w:rFonts w:hint="eastAsia" w:ascii="宋体" w:hAnsi="宋体"/>
          <w:b/>
          <w:bCs/>
          <w:color w:val="auto"/>
          <w:szCs w:val="21"/>
          <w:highlight w:val="none"/>
        </w:rPr>
        <w:t>二、本项目评标信息</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b/>
          <w:bCs/>
          <w:color w:val="auto"/>
          <w:szCs w:val="21"/>
          <w:highlight w:val="none"/>
        </w:rPr>
      </w:pPr>
      <w:r>
        <w:rPr>
          <w:rFonts w:hint="eastAsia" w:ascii="宋体" w:hAnsi="宋体"/>
          <w:b/>
          <w:bCs/>
          <w:color w:val="auto"/>
          <w:szCs w:val="21"/>
          <w:highlight w:val="none"/>
        </w:rPr>
        <w:t>1、</w:t>
      </w:r>
      <w:r>
        <w:rPr>
          <w:rFonts w:ascii="宋体" w:hAnsi="宋体"/>
          <w:b/>
          <w:bCs/>
          <w:color w:val="auto"/>
          <w:szCs w:val="21"/>
          <w:highlight w:val="none"/>
        </w:rPr>
        <w:t>符合性检查表</w:t>
      </w:r>
    </w:p>
    <w:tbl>
      <w:tblPr>
        <w:tblStyle w:val="4"/>
        <w:tblW w:w="89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6497"/>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9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b/>
                <w:color w:val="auto"/>
                <w:szCs w:val="20"/>
                <w:highlight w:val="none"/>
              </w:rPr>
            </w:pPr>
            <w:r>
              <w:rPr>
                <w:rFonts w:hint="default" w:ascii="宋体" w:hAnsi="宋体"/>
                <w:b/>
                <w:color w:val="auto"/>
                <w:szCs w:val="20"/>
                <w:highlight w:val="none"/>
              </w:rPr>
              <w:t>序号</w:t>
            </w:r>
          </w:p>
        </w:tc>
        <w:tc>
          <w:tcPr>
            <w:tcW w:w="649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828" w:right="0" w:firstLine="828"/>
              <w:jc w:val="center"/>
              <w:textAlignment w:val="auto"/>
              <w:rPr>
                <w:rFonts w:hint="default" w:ascii="宋体" w:hAnsi="宋体"/>
                <w:b/>
                <w:color w:val="auto"/>
                <w:sz w:val="24"/>
                <w:szCs w:val="20"/>
                <w:highlight w:val="none"/>
              </w:rPr>
            </w:pPr>
            <w:r>
              <w:rPr>
                <w:rFonts w:hint="default" w:ascii="宋体" w:hAnsi="宋体"/>
                <w:b/>
                <w:color w:val="auto"/>
                <w:szCs w:val="20"/>
                <w:highlight w:val="none"/>
              </w:rPr>
              <w:t>评议内容</w:t>
            </w:r>
          </w:p>
        </w:tc>
        <w:tc>
          <w:tcPr>
            <w:tcW w:w="14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44" w:right="0" w:hanging="44"/>
              <w:jc w:val="center"/>
              <w:textAlignment w:val="auto"/>
              <w:rPr>
                <w:rFonts w:hint="default" w:ascii="宋体" w:hAnsi="宋体"/>
                <w:b/>
                <w:color w:val="auto"/>
                <w:sz w:val="24"/>
                <w:szCs w:val="20"/>
                <w:highlight w:val="none"/>
              </w:rPr>
            </w:pPr>
            <w:r>
              <w:rPr>
                <w:rFonts w:hint="default" w:ascii="宋体" w:hAnsi="宋体"/>
                <w:b/>
                <w:color w:val="auto"/>
                <w:szCs w:val="20"/>
                <w:highlight w:val="none"/>
              </w:rPr>
              <w:t>评议结果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57" w:right="0"/>
              <w:jc w:val="center"/>
              <w:textAlignment w:val="auto"/>
              <w:rPr>
                <w:rFonts w:hint="default" w:ascii="宋体" w:hAnsi="宋体"/>
                <w:color w:val="auto"/>
                <w:szCs w:val="20"/>
                <w:highlight w:val="none"/>
              </w:rPr>
            </w:pPr>
            <w:r>
              <w:rPr>
                <w:rFonts w:hint="eastAsia" w:ascii="宋体" w:hAnsi="宋体"/>
                <w:color w:val="auto"/>
                <w:szCs w:val="20"/>
                <w:highlight w:val="none"/>
              </w:rPr>
              <w:t>1</w:t>
            </w:r>
          </w:p>
        </w:tc>
        <w:tc>
          <w:tcPr>
            <w:tcW w:w="649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olor w:val="auto"/>
                <w:sz w:val="24"/>
                <w:szCs w:val="20"/>
                <w:highlight w:val="none"/>
              </w:rPr>
            </w:pPr>
            <w:r>
              <w:rPr>
                <w:rFonts w:hint="eastAsia" w:hAnsi="宋体"/>
                <w:color w:val="auto"/>
                <w:szCs w:val="21"/>
                <w:highlight w:val="none"/>
              </w:rPr>
              <w:t>按照招标文件的格式详细填写“投标函”</w:t>
            </w:r>
          </w:p>
        </w:tc>
        <w:tc>
          <w:tcPr>
            <w:tcW w:w="14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color w:val="auto"/>
                <w:szCs w:val="21"/>
                <w:highlight w:val="none"/>
              </w:rPr>
            </w:pPr>
            <w:r>
              <w:rPr>
                <w:rFonts w:hint="default" w:ascii="宋体" w:hAnsi="宋体"/>
                <w:color w:val="auto"/>
                <w:szCs w:val="21"/>
                <w:highlight w:val="none"/>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57" w:right="0"/>
              <w:jc w:val="center"/>
              <w:textAlignment w:val="auto"/>
              <w:rPr>
                <w:rFonts w:hint="default" w:ascii="宋体" w:hAnsi="宋体"/>
                <w:color w:val="auto"/>
                <w:szCs w:val="20"/>
                <w:highlight w:val="none"/>
              </w:rPr>
            </w:pPr>
            <w:r>
              <w:rPr>
                <w:rFonts w:hint="eastAsia" w:ascii="宋体" w:hAnsi="宋体"/>
                <w:color w:val="auto"/>
                <w:szCs w:val="20"/>
                <w:highlight w:val="none"/>
              </w:rPr>
              <w:t>2</w:t>
            </w:r>
          </w:p>
        </w:tc>
        <w:tc>
          <w:tcPr>
            <w:tcW w:w="649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olor w:val="auto"/>
                <w:szCs w:val="20"/>
                <w:highlight w:val="none"/>
              </w:rPr>
            </w:pPr>
            <w:r>
              <w:rPr>
                <w:rFonts w:hint="eastAsia" w:hAnsi="宋体"/>
                <w:color w:val="auto"/>
                <w:szCs w:val="21"/>
                <w:highlight w:val="none"/>
              </w:rPr>
              <w:t>按照招标文件的格式详细填写“</w:t>
            </w:r>
            <w:r>
              <w:rPr>
                <w:rFonts w:hint="eastAsia" w:ascii="宋体" w:hAnsi="宋体"/>
                <w:color w:val="auto"/>
                <w:szCs w:val="20"/>
                <w:highlight w:val="none"/>
              </w:rPr>
              <w:t>政府采购投标及履约承诺函</w:t>
            </w:r>
            <w:r>
              <w:rPr>
                <w:rFonts w:hint="eastAsia" w:hAnsi="宋体"/>
                <w:color w:val="auto"/>
                <w:szCs w:val="21"/>
                <w:highlight w:val="none"/>
              </w:rPr>
              <w:t>”</w:t>
            </w:r>
          </w:p>
        </w:tc>
        <w:tc>
          <w:tcPr>
            <w:tcW w:w="14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color w:val="auto"/>
                <w:szCs w:val="21"/>
                <w:highlight w:val="none"/>
              </w:rPr>
            </w:pPr>
            <w:r>
              <w:rPr>
                <w:rFonts w:hint="default" w:ascii="宋体" w:hAnsi="宋体"/>
                <w:color w:val="auto"/>
                <w:szCs w:val="21"/>
                <w:highlight w:val="none"/>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57" w:right="0"/>
              <w:jc w:val="center"/>
              <w:textAlignment w:val="auto"/>
              <w:rPr>
                <w:rFonts w:hint="default" w:ascii="宋体" w:hAnsi="宋体"/>
                <w:color w:val="auto"/>
                <w:szCs w:val="20"/>
                <w:highlight w:val="none"/>
              </w:rPr>
            </w:pPr>
            <w:r>
              <w:rPr>
                <w:rFonts w:hint="eastAsia" w:ascii="宋体" w:hAnsi="宋体"/>
                <w:color w:val="auto"/>
                <w:szCs w:val="20"/>
                <w:highlight w:val="none"/>
              </w:rPr>
              <w:t>3</w:t>
            </w:r>
          </w:p>
        </w:tc>
        <w:tc>
          <w:tcPr>
            <w:tcW w:w="649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olor w:val="auto"/>
                <w:szCs w:val="20"/>
                <w:highlight w:val="none"/>
              </w:rPr>
            </w:pPr>
            <w:r>
              <w:rPr>
                <w:rFonts w:hint="eastAsia" w:ascii="宋体" w:hAnsi="宋体"/>
                <w:color w:val="auto"/>
                <w:szCs w:val="20"/>
                <w:highlight w:val="none"/>
              </w:rPr>
              <w:t>开标一览表未出现无报价、报价为零或有选择性报价</w:t>
            </w:r>
          </w:p>
        </w:tc>
        <w:tc>
          <w:tcPr>
            <w:tcW w:w="14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color w:val="auto"/>
                <w:szCs w:val="21"/>
                <w:highlight w:val="none"/>
              </w:rPr>
            </w:pPr>
            <w:r>
              <w:rPr>
                <w:rFonts w:hint="default" w:ascii="宋体" w:hAnsi="宋体"/>
                <w:color w:val="auto"/>
                <w:szCs w:val="21"/>
                <w:highlight w:val="none"/>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57" w:right="0"/>
              <w:jc w:val="center"/>
              <w:textAlignment w:val="auto"/>
              <w:rPr>
                <w:rFonts w:hint="default" w:ascii="宋体" w:hAnsi="宋体"/>
                <w:color w:val="auto"/>
                <w:szCs w:val="20"/>
                <w:highlight w:val="none"/>
              </w:rPr>
            </w:pPr>
            <w:r>
              <w:rPr>
                <w:rFonts w:hint="eastAsia" w:ascii="宋体" w:hAnsi="宋体"/>
                <w:color w:val="auto"/>
                <w:szCs w:val="20"/>
                <w:highlight w:val="none"/>
              </w:rPr>
              <w:t>4</w:t>
            </w:r>
          </w:p>
        </w:tc>
        <w:tc>
          <w:tcPr>
            <w:tcW w:w="649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olor w:val="auto"/>
                <w:szCs w:val="20"/>
                <w:highlight w:val="none"/>
              </w:rPr>
            </w:pPr>
            <w:r>
              <w:rPr>
                <w:rFonts w:hint="eastAsia" w:ascii="宋体" w:hAnsi="宋体"/>
                <w:color w:val="auto"/>
                <w:szCs w:val="20"/>
                <w:highlight w:val="none"/>
              </w:rPr>
              <w:t>投标总价</w:t>
            </w:r>
            <w:r>
              <w:rPr>
                <w:rFonts w:hint="eastAsia" w:ascii="宋体" w:hAnsi="宋体"/>
                <w:color w:val="auto"/>
                <w:szCs w:val="21"/>
                <w:highlight w:val="none"/>
              </w:rPr>
              <w:t>或分项报价</w:t>
            </w:r>
            <w:r>
              <w:rPr>
                <w:rFonts w:hint="eastAsia" w:ascii="宋体" w:hAnsi="宋体"/>
                <w:color w:val="auto"/>
                <w:szCs w:val="20"/>
                <w:highlight w:val="none"/>
              </w:rPr>
              <w:t>未超过预算控制金额</w:t>
            </w:r>
          </w:p>
        </w:tc>
        <w:tc>
          <w:tcPr>
            <w:tcW w:w="14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color w:val="auto"/>
                <w:szCs w:val="21"/>
                <w:highlight w:val="none"/>
              </w:rPr>
            </w:pPr>
            <w:r>
              <w:rPr>
                <w:rFonts w:hint="default" w:ascii="宋体" w:hAnsi="宋体"/>
                <w:color w:val="auto"/>
                <w:szCs w:val="21"/>
                <w:highlight w:val="none"/>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57" w:right="0"/>
              <w:jc w:val="center"/>
              <w:textAlignment w:val="auto"/>
              <w:rPr>
                <w:rFonts w:hint="default" w:ascii="宋体" w:hAnsi="宋体"/>
                <w:color w:val="auto"/>
                <w:szCs w:val="20"/>
                <w:highlight w:val="none"/>
              </w:rPr>
            </w:pPr>
            <w:r>
              <w:rPr>
                <w:rFonts w:hint="eastAsia" w:ascii="宋体" w:hAnsi="宋体"/>
                <w:color w:val="auto"/>
                <w:szCs w:val="20"/>
                <w:highlight w:val="none"/>
              </w:rPr>
              <w:t>5</w:t>
            </w:r>
          </w:p>
        </w:tc>
        <w:tc>
          <w:tcPr>
            <w:tcW w:w="649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Theme="minorEastAsia" w:hAnsiTheme="minorEastAsia" w:eastAsiaTheme="minorEastAsia"/>
                <w:color w:val="auto"/>
                <w:szCs w:val="21"/>
                <w:highlight w:val="none"/>
              </w:rPr>
            </w:pPr>
            <w:r>
              <w:rPr>
                <w:rFonts w:hint="default" w:asciiTheme="minorEastAsia" w:hAnsiTheme="minorEastAsia" w:eastAsiaTheme="minorEastAsia"/>
                <w:color w:val="auto"/>
                <w:szCs w:val="21"/>
                <w:highlight w:val="none"/>
              </w:rPr>
              <w:t>评标委员会认为投标人的报价明显低于其他通过符合性审查投标人的报价，有可能影响产品质量或者不能诚信履约的，投标人能在</w:t>
            </w:r>
            <w:r>
              <w:rPr>
                <w:rFonts w:hint="eastAsia" w:asciiTheme="minorEastAsia" w:hAnsiTheme="minorEastAsia" w:eastAsiaTheme="minorEastAsia"/>
                <w:color w:val="auto"/>
                <w:szCs w:val="21"/>
                <w:highlight w:val="none"/>
              </w:rPr>
              <w:t>评标现场</w:t>
            </w:r>
            <w:r>
              <w:rPr>
                <w:rFonts w:hint="default" w:asciiTheme="minorEastAsia" w:hAnsiTheme="minorEastAsia" w:eastAsiaTheme="minorEastAsia"/>
                <w:color w:val="auto"/>
                <w:szCs w:val="21"/>
                <w:highlight w:val="none"/>
              </w:rPr>
              <w:t>合理的时间内提供书面说明</w:t>
            </w:r>
            <w:r>
              <w:rPr>
                <w:rFonts w:hint="eastAsia" w:asciiTheme="minorEastAsia" w:hAnsiTheme="minorEastAsia" w:eastAsiaTheme="minorEastAsia"/>
                <w:color w:val="auto"/>
                <w:szCs w:val="21"/>
                <w:highlight w:val="none"/>
              </w:rPr>
              <w:t>（必要时提交相关证明材料）</w:t>
            </w:r>
            <w:r>
              <w:rPr>
                <w:rFonts w:hint="default" w:asciiTheme="minorEastAsia" w:hAnsiTheme="minorEastAsia" w:eastAsiaTheme="minorEastAsia"/>
                <w:color w:val="auto"/>
                <w:szCs w:val="21"/>
                <w:highlight w:val="none"/>
              </w:rPr>
              <w:t>或提交</w:t>
            </w:r>
            <w:r>
              <w:rPr>
                <w:rFonts w:hint="eastAsia" w:asciiTheme="minorEastAsia" w:hAnsiTheme="minorEastAsia" w:eastAsiaTheme="minorEastAsia"/>
                <w:color w:val="auto"/>
                <w:szCs w:val="21"/>
                <w:highlight w:val="none"/>
              </w:rPr>
              <w:t>的书面说明</w:t>
            </w:r>
            <w:r>
              <w:rPr>
                <w:rFonts w:hint="default" w:asciiTheme="minorEastAsia" w:hAnsiTheme="minorEastAsia" w:eastAsiaTheme="minorEastAsia"/>
                <w:color w:val="auto"/>
                <w:szCs w:val="21"/>
                <w:highlight w:val="none"/>
              </w:rPr>
              <w:t>能证明其报价合理性</w:t>
            </w:r>
            <w:r>
              <w:rPr>
                <w:rFonts w:hint="eastAsia" w:asciiTheme="minorEastAsia" w:hAnsiTheme="minorEastAsia" w:eastAsiaTheme="minorEastAsia"/>
                <w:color w:val="auto"/>
                <w:szCs w:val="21"/>
                <w:highlight w:val="none"/>
              </w:rPr>
              <w:t>。（若</w:t>
            </w:r>
            <w:r>
              <w:rPr>
                <w:rFonts w:hint="default" w:asciiTheme="minorEastAsia" w:hAnsiTheme="minorEastAsia" w:eastAsiaTheme="minorEastAsia"/>
                <w:color w:val="auto"/>
                <w:szCs w:val="21"/>
                <w:highlight w:val="none"/>
              </w:rPr>
              <w:t>评标委员会</w:t>
            </w:r>
            <w:r>
              <w:rPr>
                <w:rFonts w:hint="eastAsia" w:asciiTheme="minorEastAsia" w:hAnsiTheme="minorEastAsia" w:eastAsiaTheme="minorEastAsia"/>
                <w:color w:val="auto"/>
                <w:szCs w:val="21"/>
                <w:highlight w:val="none"/>
              </w:rPr>
              <w:t>成员对是否须由投标人做出报价合理性说明，以及书面说明是否采纳等判断不一致的，按照“少数服从多数”的原则确定。）</w:t>
            </w:r>
          </w:p>
        </w:tc>
        <w:tc>
          <w:tcPr>
            <w:tcW w:w="14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color w:val="auto"/>
                <w:szCs w:val="21"/>
                <w:highlight w:val="none"/>
              </w:rPr>
            </w:pPr>
            <w:r>
              <w:rPr>
                <w:rFonts w:hint="default" w:ascii="宋体" w:hAnsi="宋体"/>
                <w:color w:val="auto"/>
                <w:szCs w:val="21"/>
                <w:highlight w:val="none"/>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57" w:right="0"/>
              <w:jc w:val="center"/>
              <w:textAlignment w:val="auto"/>
              <w:rPr>
                <w:rFonts w:hint="default" w:ascii="宋体" w:hAnsi="宋体"/>
                <w:color w:val="auto"/>
                <w:szCs w:val="20"/>
                <w:highlight w:val="none"/>
              </w:rPr>
            </w:pPr>
            <w:r>
              <w:rPr>
                <w:rFonts w:hint="eastAsia" w:ascii="宋体" w:hAnsi="宋体"/>
                <w:color w:val="auto"/>
                <w:szCs w:val="20"/>
                <w:highlight w:val="none"/>
              </w:rPr>
              <w:t>6</w:t>
            </w:r>
          </w:p>
        </w:tc>
        <w:tc>
          <w:tcPr>
            <w:tcW w:w="649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olor w:val="auto"/>
                <w:szCs w:val="20"/>
                <w:highlight w:val="none"/>
              </w:rPr>
            </w:pPr>
            <w:r>
              <w:rPr>
                <w:rFonts w:hint="default"/>
                <w:color w:val="auto"/>
                <w:szCs w:val="21"/>
                <w:highlight w:val="none"/>
              </w:rPr>
              <w:t>实质性满足招标文件要求</w:t>
            </w:r>
            <w:r>
              <w:rPr>
                <w:rFonts w:hint="eastAsia"/>
                <w:color w:val="auto"/>
                <w:szCs w:val="21"/>
                <w:highlight w:val="none"/>
              </w:rPr>
              <w:t>和条件</w:t>
            </w:r>
            <w:r>
              <w:rPr>
                <w:rFonts w:hint="default"/>
                <w:color w:val="auto"/>
                <w:szCs w:val="21"/>
                <w:highlight w:val="none"/>
              </w:rPr>
              <w:t>（</w:t>
            </w:r>
            <w:r>
              <w:rPr>
                <w:rFonts w:hint="eastAsia" w:ascii="宋体" w:hAnsi="宋体"/>
                <w:color w:val="auto"/>
                <w:szCs w:val="20"/>
                <w:highlight w:val="none"/>
              </w:rPr>
              <w:t>不可偏离项检查</w:t>
            </w:r>
            <w:r>
              <w:rPr>
                <w:rFonts w:hint="default"/>
                <w:color w:val="auto"/>
                <w:szCs w:val="21"/>
                <w:highlight w:val="none"/>
              </w:rPr>
              <w:t>）</w:t>
            </w:r>
          </w:p>
        </w:tc>
        <w:tc>
          <w:tcPr>
            <w:tcW w:w="14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color w:val="auto"/>
                <w:szCs w:val="21"/>
                <w:highlight w:val="none"/>
              </w:rPr>
            </w:pPr>
            <w:r>
              <w:rPr>
                <w:rFonts w:hint="default" w:ascii="宋体" w:hAnsi="宋体"/>
                <w:color w:val="auto"/>
                <w:szCs w:val="21"/>
                <w:highlight w:val="none"/>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57" w:right="0"/>
              <w:jc w:val="center"/>
              <w:textAlignment w:val="auto"/>
              <w:rPr>
                <w:rFonts w:hint="default" w:ascii="宋体" w:hAnsi="宋体"/>
                <w:color w:val="auto"/>
                <w:szCs w:val="20"/>
                <w:highlight w:val="none"/>
              </w:rPr>
            </w:pPr>
            <w:r>
              <w:rPr>
                <w:rFonts w:hint="eastAsia" w:ascii="宋体" w:hAnsi="宋体"/>
                <w:color w:val="auto"/>
                <w:szCs w:val="20"/>
                <w:highlight w:val="none"/>
              </w:rPr>
              <w:t>7</w:t>
            </w:r>
          </w:p>
        </w:tc>
        <w:tc>
          <w:tcPr>
            <w:tcW w:w="649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color w:val="auto"/>
                <w:szCs w:val="21"/>
                <w:highlight w:val="none"/>
              </w:rPr>
            </w:pPr>
            <w:r>
              <w:rPr>
                <w:rFonts w:hint="default"/>
                <w:color w:val="auto"/>
                <w:szCs w:val="21"/>
                <w:highlight w:val="none"/>
              </w:rPr>
              <w:t>投标文件载明的项目服务期</w:t>
            </w:r>
            <w:r>
              <w:rPr>
                <w:rFonts w:hint="eastAsia"/>
                <w:color w:val="auto"/>
                <w:szCs w:val="21"/>
                <w:highlight w:val="none"/>
              </w:rPr>
              <w:t>符合</w:t>
            </w:r>
            <w:r>
              <w:rPr>
                <w:rFonts w:hint="default"/>
                <w:color w:val="auto"/>
                <w:szCs w:val="21"/>
                <w:highlight w:val="none"/>
              </w:rPr>
              <w:t>招标文件规定的期限</w:t>
            </w:r>
          </w:p>
        </w:tc>
        <w:tc>
          <w:tcPr>
            <w:tcW w:w="14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color w:val="auto"/>
                <w:szCs w:val="21"/>
                <w:highlight w:val="none"/>
              </w:rPr>
            </w:pPr>
            <w:r>
              <w:rPr>
                <w:rFonts w:hint="default" w:ascii="宋体" w:hAnsi="宋体"/>
                <w:color w:val="auto"/>
                <w:szCs w:val="21"/>
                <w:highlight w:val="none"/>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57" w:right="0"/>
              <w:jc w:val="center"/>
              <w:textAlignment w:val="auto"/>
              <w:rPr>
                <w:rFonts w:hint="default" w:ascii="宋体" w:hAnsi="宋体"/>
                <w:color w:val="auto"/>
                <w:szCs w:val="20"/>
                <w:highlight w:val="none"/>
              </w:rPr>
            </w:pPr>
            <w:r>
              <w:rPr>
                <w:rFonts w:hint="eastAsia" w:ascii="宋体" w:hAnsi="宋体"/>
                <w:color w:val="auto"/>
                <w:szCs w:val="20"/>
                <w:highlight w:val="none"/>
              </w:rPr>
              <w:t>8</w:t>
            </w:r>
          </w:p>
        </w:tc>
        <w:tc>
          <w:tcPr>
            <w:tcW w:w="649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default" w:ascii="宋体" w:hAnsi="宋体"/>
                <w:color w:val="auto"/>
                <w:szCs w:val="20"/>
                <w:highlight w:val="none"/>
              </w:rPr>
            </w:pPr>
            <w:r>
              <w:rPr>
                <w:rFonts w:hint="eastAsia" w:hAnsi="宋体"/>
                <w:color w:val="auto"/>
                <w:szCs w:val="21"/>
                <w:highlight w:val="none"/>
              </w:rPr>
              <w:t>《技术偏离表》和《商务偏离表》已提交</w:t>
            </w:r>
          </w:p>
        </w:tc>
        <w:tc>
          <w:tcPr>
            <w:tcW w:w="14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57" w:right="0"/>
              <w:jc w:val="center"/>
              <w:textAlignment w:val="auto"/>
              <w:rPr>
                <w:rFonts w:hint="default" w:ascii="宋体" w:hAnsi="宋体"/>
                <w:color w:val="auto"/>
                <w:szCs w:val="21"/>
                <w:highlight w:val="none"/>
              </w:rPr>
            </w:pPr>
            <w:r>
              <w:rPr>
                <w:rFonts w:hint="default" w:ascii="宋体" w:hAnsi="宋体"/>
                <w:color w:val="auto"/>
                <w:szCs w:val="21"/>
                <w:highlight w:val="none"/>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57" w:right="0"/>
              <w:jc w:val="center"/>
              <w:textAlignment w:val="auto"/>
              <w:rPr>
                <w:rFonts w:hint="default" w:ascii="宋体" w:hAnsi="宋体"/>
                <w:color w:val="auto"/>
                <w:szCs w:val="20"/>
                <w:highlight w:val="none"/>
              </w:rPr>
            </w:pPr>
            <w:r>
              <w:rPr>
                <w:rFonts w:hint="eastAsia" w:ascii="宋体" w:hAnsi="宋体"/>
                <w:color w:val="auto"/>
                <w:szCs w:val="20"/>
                <w:highlight w:val="none"/>
              </w:rPr>
              <w:t>9</w:t>
            </w:r>
          </w:p>
        </w:tc>
        <w:tc>
          <w:tcPr>
            <w:tcW w:w="649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olor w:val="auto"/>
                <w:szCs w:val="20"/>
                <w:highlight w:val="none"/>
              </w:rPr>
            </w:pPr>
            <w:r>
              <w:rPr>
                <w:rFonts w:hint="eastAsia" w:ascii="宋体" w:hAnsi="宋体"/>
                <w:color w:val="auto"/>
                <w:szCs w:val="20"/>
                <w:highlight w:val="none"/>
              </w:rPr>
              <w:t>“否决性条款”列明的其他情况</w:t>
            </w:r>
          </w:p>
        </w:tc>
        <w:tc>
          <w:tcPr>
            <w:tcW w:w="14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color w:val="auto"/>
                <w:szCs w:val="21"/>
                <w:highlight w:val="none"/>
              </w:rPr>
            </w:pPr>
            <w:r>
              <w:rPr>
                <w:rFonts w:hint="default" w:ascii="宋体" w:hAnsi="宋体"/>
                <w:color w:val="auto"/>
                <w:szCs w:val="21"/>
                <w:highlight w:val="none"/>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57" w:right="0"/>
              <w:jc w:val="center"/>
              <w:textAlignment w:val="auto"/>
              <w:rPr>
                <w:rFonts w:hint="default" w:ascii="宋体" w:hAnsi="宋体"/>
                <w:color w:val="auto"/>
                <w:szCs w:val="20"/>
                <w:highlight w:val="none"/>
              </w:rPr>
            </w:pPr>
            <w:r>
              <w:rPr>
                <w:rFonts w:hint="eastAsia" w:ascii="宋体" w:hAnsi="宋体"/>
                <w:color w:val="auto"/>
                <w:szCs w:val="20"/>
                <w:highlight w:val="none"/>
              </w:rPr>
              <w:t>10</w:t>
            </w:r>
          </w:p>
        </w:tc>
        <w:tc>
          <w:tcPr>
            <w:tcW w:w="649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olor w:val="auto"/>
                <w:szCs w:val="21"/>
                <w:highlight w:val="none"/>
              </w:rPr>
            </w:pPr>
            <w:r>
              <w:rPr>
                <w:rFonts w:hint="default" w:ascii="宋体" w:hAnsi="宋体"/>
                <w:color w:val="auto"/>
                <w:szCs w:val="21"/>
                <w:highlight w:val="none"/>
              </w:rPr>
              <w:t>结论</w:t>
            </w:r>
          </w:p>
        </w:tc>
        <w:tc>
          <w:tcPr>
            <w:tcW w:w="14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color w:val="auto"/>
                <w:szCs w:val="21"/>
                <w:highlight w:val="none"/>
              </w:rPr>
            </w:pPr>
            <w:r>
              <w:rPr>
                <w:rFonts w:hint="default" w:ascii="宋体" w:hAnsi="宋体"/>
                <w:color w:val="auto"/>
                <w:szCs w:val="21"/>
                <w:highlight w:val="none"/>
              </w:rPr>
              <w:t>通过/不通过</w:t>
            </w:r>
          </w:p>
        </w:tc>
      </w:tr>
    </w:tbl>
    <w:p>
      <w:pPr>
        <w:keepNext w:val="0"/>
        <w:keepLines w:val="0"/>
        <w:pageBreakBefore w:val="0"/>
        <w:widowControl w:val="0"/>
        <w:kinsoku/>
        <w:wordWrap/>
        <w:overflowPunct/>
        <w:topLinePunct w:val="0"/>
        <w:bidi w:val="0"/>
        <w:snapToGrid/>
        <w:spacing w:line="340" w:lineRule="exact"/>
        <w:ind w:firstLine="422" w:firstLineChars="200"/>
        <w:rPr>
          <w:rFonts w:ascii="宋体" w:hAnsi="宋体"/>
          <w:b/>
          <w:color w:val="auto"/>
          <w:szCs w:val="21"/>
          <w:highlight w:val="none"/>
        </w:rPr>
      </w:pPr>
      <w:r>
        <w:rPr>
          <w:rFonts w:hint="eastAsia" w:ascii="宋体" w:hAnsi="宋体"/>
          <w:b/>
          <w:color w:val="auto"/>
          <w:szCs w:val="21"/>
          <w:highlight w:val="none"/>
        </w:rPr>
        <w:t>2、评分表</w:t>
      </w:r>
    </w:p>
    <w:tbl>
      <w:tblPr>
        <w:tblStyle w:val="4"/>
        <w:tblW w:w="89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731"/>
        <w:gridCol w:w="1623"/>
        <w:gridCol w:w="925"/>
        <w:gridCol w:w="1235"/>
        <w:gridCol w:w="3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95" w:type="dxa"/>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center"/>
              <w:rPr>
                <w:rFonts w:hint="default" w:ascii="宋体" w:hAnsi="宋体"/>
                <w:b/>
                <w:color w:val="auto"/>
                <w:szCs w:val="21"/>
                <w:highlight w:val="none"/>
              </w:rPr>
            </w:pPr>
            <w:r>
              <w:rPr>
                <w:rFonts w:hint="eastAsia" w:ascii="宋体" w:hAnsi="宋体"/>
                <w:b/>
                <w:color w:val="auto"/>
                <w:szCs w:val="21"/>
                <w:highlight w:val="none"/>
              </w:rPr>
              <w:t>序号</w:t>
            </w:r>
          </w:p>
        </w:tc>
        <w:tc>
          <w:tcPr>
            <w:tcW w:w="4514" w:type="dxa"/>
            <w:gridSpan w:val="4"/>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center"/>
              <w:rPr>
                <w:rFonts w:hint="default" w:ascii="宋体" w:hAnsi="宋体"/>
                <w:b/>
                <w:color w:val="auto"/>
                <w:szCs w:val="21"/>
                <w:highlight w:val="none"/>
              </w:rPr>
            </w:pPr>
            <w:r>
              <w:rPr>
                <w:rFonts w:hint="eastAsia" w:ascii="宋体" w:hAnsi="宋体"/>
                <w:b/>
                <w:color w:val="auto"/>
                <w:szCs w:val="21"/>
                <w:highlight w:val="none"/>
              </w:rPr>
              <w:t>评分项</w:t>
            </w:r>
          </w:p>
        </w:tc>
        <w:tc>
          <w:tcPr>
            <w:tcW w:w="3790" w:type="dxa"/>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center"/>
              <w:rPr>
                <w:rFonts w:hint="default" w:ascii="宋体" w:hAnsi="宋体"/>
                <w:b/>
                <w:color w:val="auto"/>
                <w:szCs w:val="21"/>
                <w:highlight w:val="none"/>
              </w:rPr>
            </w:pPr>
            <w:r>
              <w:rPr>
                <w:rFonts w:hint="eastAsia" w:ascii="宋体" w:hAnsi="宋体"/>
                <w:b/>
                <w:color w:val="auto"/>
                <w:szCs w:val="21"/>
                <w:highlight w:val="none"/>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5" w:type="dxa"/>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center"/>
              <w:rPr>
                <w:rFonts w:hint="default" w:ascii="宋体" w:hAnsi="宋体"/>
                <w:b/>
                <w:color w:val="auto"/>
                <w:szCs w:val="21"/>
                <w:highlight w:val="none"/>
              </w:rPr>
            </w:pPr>
            <w:r>
              <w:rPr>
                <w:rFonts w:hint="default" w:ascii="宋体" w:hAnsi="宋体"/>
                <w:b/>
                <w:color w:val="auto"/>
                <w:szCs w:val="21"/>
                <w:highlight w:val="none"/>
              </w:rPr>
              <w:t>1</w:t>
            </w:r>
          </w:p>
        </w:tc>
        <w:tc>
          <w:tcPr>
            <w:tcW w:w="4514" w:type="dxa"/>
            <w:gridSpan w:val="4"/>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center"/>
              <w:rPr>
                <w:rFonts w:hint="default" w:ascii="宋体" w:hAnsi="宋体"/>
                <w:b/>
                <w:color w:val="auto"/>
                <w:szCs w:val="21"/>
                <w:highlight w:val="none"/>
              </w:rPr>
            </w:pPr>
            <w:r>
              <w:rPr>
                <w:rFonts w:hint="eastAsia" w:ascii="宋体" w:hAnsi="宋体"/>
                <w:b/>
                <w:color w:val="auto"/>
                <w:szCs w:val="21"/>
                <w:highlight w:val="none"/>
              </w:rPr>
              <w:t>价格</w:t>
            </w:r>
          </w:p>
        </w:tc>
        <w:tc>
          <w:tcPr>
            <w:tcW w:w="3790" w:type="dxa"/>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center"/>
              <w:rPr>
                <w:rFonts w:hint="default" w:ascii="宋体" w:hAnsi="宋体" w:eastAsia="宋体"/>
                <w:b/>
                <w:color w:val="auto"/>
                <w:szCs w:val="21"/>
                <w:highlight w:val="none"/>
                <w:lang w:val="en-US" w:eastAsia="zh-CN"/>
              </w:rPr>
            </w:pPr>
            <w:r>
              <w:rPr>
                <w:rFonts w:hint="eastAsia" w:ascii="宋体" w:hAnsi="宋体"/>
                <w:b/>
                <w:color w:val="auto"/>
                <w:szCs w:val="21"/>
                <w:highlight w:val="no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5" w:type="dxa"/>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center"/>
              <w:rPr>
                <w:rFonts w:hint="default" w:ascii="宋体" w:hAnsi="宋体"/>
                <w:color w:val="auto"/>
                <w:szCs w:val="21"/>
                <w:highlight w:val="none"/>
              </w:rPr>
            </w:pPr>
          </w:p>
        </w:tc>
        <w:tc>
          <w:tcPr>
            <w:tcW w:w="8304" w:type="dxa"/>
            <w:gridSpan w:val="5"/>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rPr>
                <w:rFonts w:hint="default" w:ascii="宋体" w:hAnsi="宋体"/>
                <w:color w:val="auto"/>
                <w:szCs w:val="21"/>
                <w:highlight w:val="none"/>
              </w:rPr>
            </w:pPr>
            <w:r>
              <w:rPr>
                <w:rFonts w:hint="eastAsia" w:ascii="宋体" w:hAnsi="宋体"/>
                <w:color w:val="auto"/>
                <w:szCs w:val="21"/>
                <w:highlight w:val="none"/>
              </w:rPr>
              <w:t>投标报价价格分=（评标基准价/投标报价）×</w:t>
            </w:r>
            <w:r>
              <w:rPr>
                <w:rFonts w:hint="eastAsia" w:ascii="宋体" w:hAnsi="宋体"/>
                <w:color w:val="auto"/>
                <w:szCs w:val="21"/>
                <w:highlight w:val="none"/>
                <w:lang w:val="en-US" w:eastAsia="zh-CN"/>
              </w:rPr>
              <w:t>权重</w:t>
            </w:r>
          </w:p>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left"/>
              <w:rPr>
                <w:rFonts w:hint="default" w:ascii="宋体" w:hAnsi="宋体"/>
                <w:color w:val="auto"/>
                <w:szCs w:val="21"/>
                <w:highlight w:val="none"/>
              </w:rPr>
            </w:pPr>
            <w:r>
              <w:rPr>
                <w:rFonts w:hint="eastAsia" w:ascii="宋体" w:hAnsi="宋体"/>
                <w:color w:val="auto"/>
                <w:szCs w:val="21"/>
                <w:highlight w:val="none"/>
              </w:rPr>
              <w:t>评标基准价为满足招标文件要求且投标价格最低的投标报价。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5" w:type="dxa"/>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center"/>
              <w:rPr>
                <w:rFonts w:hint="default" w:ascii="宋体" w:hAnsi="宋体"/>
                <w:b/>
                <w:color w:val="auto"/>
                <w:szCs w:val="21"/>
                <w:highlight w:val="none"/>
              </w:rPr>
            </w:pPr>
            <w:r>
              <w:rPr>
                <w:rFonts w:hint="default" w:ascii="宋体" w:hAnsi="宋体"/>
                <w:b/>
                <w:color w:val="auto"/>
                <w:szCs w:val="21"/>
                <w:highlight w:val="none"/>
              </w:rPr>
              <w:t>2</w:t>
            </w:r>
          </w:p>
        </w:tc>
        <w:tc>
          <w:tcPr>
            <w:tcW w:w="4514" w:type="dxa"/>
            <w:gridSpan w:val="4"/>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center"/>
              <w:rPr>
                <w:rFonts w:hint="default" w:ascii="宋体" w:hAnsi="宋体"/>
                <w:b/>
                <w:color w:val="auto"/>
                <w:szCs w:val="21"/>
                <w:highlight w:val="none"/>
              </w:rPr>
            </w:pPr>
            <w:r>
              <w:rPr>
                <w:rFonts w:hint="eastAsia" w:ascii="宋体" w:hAnsi="宋体"/>
                <w:b/>
                <w:color w:val="auto"/>
                <w:szCs w:val="21"/>
                <w:highlight w:val="none"/>
              </w:rPr>
              <w:t>技术部分</w:t>
            </w:r>
          </w:p>
        </w:tc>
        <w:tc>
          <w:tcPr>
            <w:tcW w:w="3790" w:type="dxa"/>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center"/>
              <w:rPr>
                <w:rFonts w:hint="default" w:ascii="宋体" w:hAnsi="宋体" w:eastAsia="宋体"/>
                <w:b/>
                <w:color w:val="auto"/>
                <w:szCs w:val="21"/>
                <w:highlight w:val="none"/>
                <w:lang w:val="en-US" w:eastAsia="zh-CN"/>
              </w:rPr>
            </w:pPr>
            <w:r>
              <w:rPr>
                <w:rFonts w:hint="eastAsia" w:ascii="宋体" w:hAnsi="宋体"/>
                <w:b/>
                <w:color w:val="auto"/>
                <w:szCs w:val="21"/>
                <w:highlight w:val="none"/>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5" w:type="dxa"/>
            <w:vMerge w:val="restart"/>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center"/>
              <w:rPr>
                <w:rFonts w:hint="default" w:ascii="宋体" w:hAnsi="宋体"/>
                <w:color w:val="auto"/>
                <w:szCs w:val="21"/>
                <w:highlight w:val="none"/>
              </w:rPr>
            </w:pPr>
          </w:p>
        </w:tc>
        <w:tc>
          <w:tcPr>
            <w:tcW w:w="731" w:type="dxa"/>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center"/>
              <w:rPr>
                <w:rFonts w:hint="default" w:ascii="宋体" w:hAnsi="宋体"/>
                <w:b/>
                <w:color w:val="auto"/>
                <w:szCs w:val="21"/>
                <w:highlight w:val="none"/>
              </w:rPr>
            </w:pPr>
            <w:r>
              <w:rPr>
                <w:rFonts w:hint="eastAsia" w:ascii="宋体" w:hAnsi="宋体"/>
                <w:b/>
                <w:color w:val="auto"/>
                <w:szCs w:val="21"/>
                <w:highlight w:val="none"/>
              </w:rPr>
              <w:t>序号</w:t>
            </w:r>
          </w:p>
        </w:tc>
        <w:tc>
          <w:tcPr>
            <w:tcW w:w="1623" w:type="dxa"/>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center"/>
              <w:rPr>
                <w:rFonts w:hint="default" w:ascii="宋体" w:hAnsi="宋体"/>
                <w:b/>
                <w:color w:val="auto"/>
                <w:szCs w:val="21"/>
                <w:highlight w:val="none"/>
              </w:rPr>
            </w:pPr>
            <w:r>
              <w:rPr>
                <w:rFonts w:hint="eastAsia" w:ascii="宋体" w:hAnsi="宋体"/>
                <w:b/>
                <w:color w:val="auto"/>
                <w:szCs w:val="21"/>
                <w:highlight w:val="none"/>
              </w:rPr>
              <w:t>评分因素</w:t>
            </w:r>
          </w:p>
        </w:tc>
        <w:tc>
          <w:tcPr>
            <w:tcW w:w="925" w:type="dxa"/>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center"/>
              <w:rPr>
                <w:rFonts w:hint="default" w:ascii="宋体" w:hAnsi="宋体"/>
                <w:b/>
                <w:color w:val="auto"/>
                <w:szCs w:val="21"/>
                <w:highlight w:val="none"/>
              </w:rPr>
            </w:pPr>
            <w:r>
              <w:rPr>
                <w:rFonts w:hint="eastAsia" w:ascii="宋体" w:hAnsi="宋体"/>
                <w:b/>
                <w:color w:val="auto"/>
                <w:szCs w:val="21"/>
                <w:highlight w:val="none"/>
              </w:rPr>
              <w:t>权重</w:t>
            </w:r>
          </w:p>
        </w:tc>
        <w:tc>
          <w:tcPr>
            <w:tcW w:w="1235" w:type="dxa"/>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center"/>
              <w:rPr>
                <w:rFonts w:hint="default" w:ascii="宋体" w:hAnsi="宋体"/>
                <w:b/>
                <w:color w:val="auto"/>
                <w:szCs w:val="21"/>
                <w:highlight w:val="none"/>
              </w:rPr>
            </w:pPr>
            <w:r>
              <w:rPr>
                <w:rFonts w:hint="eastAsia" w:ascii="宋体" w:hAnsi="宋体"/>
                <w:b/>
                <w:color w:val="auto"/>
                <w:szCs w:val="21"/>
                <w:highlight w:val="none"/>
              </w:rPr>
              <w:t>评分方式</w:t>
            </w:r>
          </w:p>
        </w:tc>
        <w:tc>
          <w:tcPr>
            <w:tcW w:w="3790" w:type="dxa"/>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center"/>
              <w:rPr>
                <w:rFonts w:hint="default" w:ascii="宋体" w:hAnsi="宋体"/>
                <w:b/>
                <w:color w:val="auto"/>
                <w:szCs w:val="21"/>
                <w:highlight w:val="none"/>
              </w:rPr>
            </w:pPr>
            <w:r>
              <w:rPr>
                <w:rFonts w:hint="eastAsia" w:ascii="宋体" w:hAnsi="宋体"/>
                <w:b/>
                <w:color w:val="auto"/>
                <w:szCs w:val="21"/>
                <w:highlight w:val="none"/>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5" w:type="dxa"/>
            <w:vMerge w:val="continue"/>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center"/>
              <w:outlineLvl w:val="0"/>
              <w:rPr>
                <w:rFonts w:hint="default" w:ascii="宋体" w:hAnsi="宋体"/>
                <w:color w:val="auto"/>
                <w:szCs w:val="21"/>
                <w:highlight w:val="none"/>
              </w:rPr>
            </w:pPr>
          </w:p>
        </w:tc>
        <w:tc>
          <w:tcPr>
            <w:tcW w:w="731" w:type="dxa"/>
            <w:vAlign w:val="center"/>
          </w:tcPr>
          <w:p>
            <w:pPr>
              <w:keepNext w:val="0"/>
              <w:keepLines w:val="0"/>
              <w:pageBreakBefore w:val="0"/>
              <w:widowControl w:val="0"/>
              <w:numPr>
                <w:ilvl w:val="0"/>
                <w:numId w:val="2"/>
              </w:numPr>
              <w:suppressLineNumbers w:val="0"/>
              <w:kinsoku/>
              <w:wordWrap/>
              <w:overflowPunct/>
              <w:topLinePunct w:val="0"/>
              <w:bidi w:val="0"/>
              <w:snapToGrid/>
              <w:spacing w:before="0" w:beforeAutospacing="0" w:after="0" w:afterAutospacing="0" w:line="440" w:lineRule="exact"/>
              <w:ind w:left="425" w:leftChars="0" w:right="0" w:hanging="425" w:firstLineChars="0"/>
              <w:jc w:val="center"/>
              <w:rPr>
                <w:rFonts w:hint="default" w:ascii="宋体" w:hAnsi="宋体"/>
                <w:color w:val="auto"/>
                <w:szCs w:val="21"/>
                <w:highlight w:val="none"/>
              </w:rPr>
            </w:pPr>
          </w:p>
        </w:tc>
        <w:tc>
          <w:tcPr>
            <w:tcW w:w="1623" w:type="dxa"/>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center"/>
              <w:rPr>
                <w:rFonts w:hint="default" w:ascii="宋体" w:hAnsi="宋体"/>
                <w:color w:val="auto"/>
                <w:szCs w:val="21"/>
                <w:highlight w:val="none"/>
              </w:rPr>
            </w:pPr>
            <w:r>
              <w:rPr>
                <w:rFonts w:hint="default" w:ascii="宋体" w:hAnsi="宋体"/>
                <w:color w:val="auto"/>
                <w:szCs w:val="21"/>
                <w:highlight w:val="none"/>
              </w:rPr>
              <w:t>实施方案</w:t>
            </w:r>
          </w:p>
        </w:tc>
        <w:tc>
          <w:tcPr>
            <w:tcW w:w="925" w:type="dxa"/>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12</w:t>
            </w:r>
          </w:p>
        </w:tc>
        <w:tc>
          <w:tcPr>
            <w:tcW w:w="1235" w:type="dxa"/>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center"/>
              <w:rPr>
                <w:rFonts w:hint="default" w:ascii="宋体" w:hAnsi="宋体"/>
                <w:color w:val="auto"/>
                <w:szCs w:val="21"/>
                <w:highlight w:val="none"/>
              </w:rPr>
            </w:pPr>
            <w:r>
              <w:rPr>
                <w:rFonts w:hint="eastAsia" w:ascii="宋体" w:hAnsi="宋体"/>
                <w:color w:val="auto"/>
                <w:szCs w:val="21"/>
                <w:highlight w:val="none"/>
              </w:rPr>
              <w:t>评委评分</w:t>
            </w:r>
          </w:p>
        </w:tc>
        <w:tc>
          <w:tcPr>
            <w:tcW w:w="3790" w:type="dxa"/>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rPr>
                <w:rFonts w:hint="default" w:ascii="宋体" w:hAnsi="宋体"/>
                <w:b/>
                <w:bCs/>
                <w:color w:val="auto"/>
                <w:szCs w:val="21"/>
                <w:highlight w:val="none"/>
              </w:rPr>
            </w:pPr>
            <w:r>
              <w:rPr>
                <w:rFonts w:hint="default" w:ascii="宋体" w:hAnsi="宋体"/>
                <w:b/>
                <w:bCs/>
                <w:color w:val="auto"/>
                <w:szCs w:val="21"/>
                <w:highlight w:val="none"/>
              </w:rPr>
              <w:t>（一）评审内容：</w:t>
            </w:r>
          </w:p>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rPr>
                <w:rFonts w:hint="default" w:ascii="宋体" w:hAnsi="宋体"/>
                <w:color w:val="auto"/>
                <w:szCs w:val="21"/>
                <w:highlight w:val="none"/>
              </w:rPr>
            </w:pPr>
            <w:r>
              <w:rPr>
                <w:rFonts w:hint="default" w:ascii="宋体" w:hAnsi="宋体"/>
                <w:color w:val="auto"/>
                <w:szCs w:val="21"/>
                <w:highlight w:val="none"/>
              </w:rPr>
              <w:t>1、工作措施得当、方法先进、手段有效、流程合理，实施方案具有可操作性；</w:t>
            </w:r>
          </w:p>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rPr>
                <w:rFonts w:hint="default" w:ascii="宋体" w:hAnsi="宋体"/>
                <w:color w:val="auto"/>
                <w:szCs w:val="21"/>
                <w:highlight w:val="none"/>
              </w:rPr>
            </w:pPr>
            <w:r>
              <w:rPr>
                <w:rFonts w:hint="default" w:ascii="宋体" w:hAnsi="宋体"/>
                <w:color w:val="auto"/>
                <w:szCs w:val="21"/>
                <w:highlight w:val="none"/>
              </w:rPr>
              <w:t xml:space="preserve">2、项目管理严密，组织机构健全，项目组织、技术保障、安全保障、风险控制合理； </w:t>
            </w:r>
          </w:p>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rPr>
                <w:rFonts w:hint="default" w:ascii="宋体" w:hAnsi="宋体"/>
                <w:color w:val="auto"/>
                <w:szCs w:val="21"/>
                <w:highlight w:val="none"/>
              </w:rPr>
            </w:pPr>
            <w:r>
              <w:rPr>
                <w:rFonts w:hint="default" w:ascii="宋体" w:hAnsi="宋体"/>
                <w:color w:val="auto"/>
                <w:szCs w:val="21"/>
                <w:highlight w:val="none"/>
              </w:rPr>
              <w:t>3、技术方案先进、科学、完善。</w:t>
            </w:r>
          </w:p>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rPr>
                <w:rFonts w:hint="default" w:ascii="宋体" w:hAnsi="宋体"/>
                <w:b/>
                <w:bCs/>
                <w:color w:val="auto"/>
                <w:szCs w:val="21"/>
                <w:highlight w:val="none"/>
              </w:rPr>
            </w:pPr>
            <w:r>
              <w:rPr>
                <w:rFonts w:hint="default" w:ascii="宋体" w:hAnsi="宋体"/>
                <w:b/>
                <w:bCs/>
                <w:color w:val="auto"/>
                <w:szCs w:val="21"/>
                <w:highlight w:val="none"/>
              </w:rPr>
              <w:t>（二）评审标准：</w:t>
            </w:r>
          </w:p>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rPr>
                <w:rFonts w:hint="default" w:ascii="宋体" w:hAnsi="宋体"/>
                <w:color w:val="auto"/>
                <w:szCs w:val="21"/>
                <w:highlight w:val="none"/>
              </w:rPr>
            </w:pPr>
            <w:r>
              <w:rPr>
                <w:rFonts w:hint="default" w:ascii="宋体" w:hAnsi="宋体"/>
                <w:color w:val="auto"/>
                <w:szCs w:val="21"/>
                <w:highlight w:val="none"/>
              </w:rPr>
              <w:t>满足以上三项要求得8</w:t>
            </w:r>
            <w:r>
              <w:rPr>
                <w:rFonts w:hint="eastAsia" w:ascii="宋体" w:hAnsi="宋体"/>
                <w:color w:val="auto"/>
                <w:szCs w:val="21"/>
                <w:highlight w:val="none"/>
                <w:lang w:val="en-US" w:eastAsia="zh-CN"/>
              </w:rPr>
              <w:t>0%</w:t>
            </w:r>
            <w:r>
              <w:rPr>
                <w:rFonts w:hint="default" w:ascii="宋体" w:hAnsi="宋体"/>
                <w:color w:val="auto"/>
                <w:szCs w:val="21"/>
                <w:highlight w:val="none"/>
              </w:rPr>
              <w:t>，满足以上任意两项要求得</w:t>
            </w:r>
            <w:r>
              <w:rPr>
                <w:rFonts w:hint="eastAsia" w:ascii="宋体" w:hAnsi="宋体"/>
                <w:color w:val="auto"/>
                <w:szCs w:val="21"/>
                <w:highlight w:val="none"/>
                <w:lang w:val="en-US" w:eastAsia="zh-CN"/>
              </w:rPr>
              <w:t>60%</w:t>
            </w:r>
            <w:r>
              <w:rPr>
                <w:rFonts w:hint="default" w:ascii="宋体" w:hAnsi="宋体"/>
                <w:color w:val="auto"/>
                <w:szCs w:val="21"/>
                <w:highlight w:val="none"/>
              </w:rPr>
              <w:t>，满足以上任意一项要求得</w:t>
            </w:r>
            <w:r>
              <w:rPr>
                <w:rFonts w:hint="eastAsia" w:ascii="宋体" w:hAnsi="宋体"/>
                <w:color w:val="auto"/>
                <w:szCs w:val="21"/>
                <w:highlight w:val="none"/>
                <w:lang w:val="en-US" w:eastAsia="zh-CN"/>
              </w:rPr>
              <w:t>40%</w:t>
            </w:r>
            <w:r>
              <w:rPr>
                <w:rFonts w:hint="default" w:ascii="宋体" w:hAnsi="宋体"/>
                <w:color w:val="auto"/>
                <w:szCs w:val="21"/>
                <w:highlight w:val="none"/>
              </w:rPr>
              <w:t>，其他不得分；在此基础上，评审为优（实施方案中涉及项目背景、工作目的及对相关政策解读）的加</w:t>
            </w:r>
            <w:r>
              <w:rPr>
                <w:rFonts w:hint="eastAsia" w:ascii="宋体" w:hAnsi="宋体"/>
                <w:color w:val="auto"/>
                <w:szCs w:val="21"/>
                <w:highlight w:val="none"/>
                <w:lang w:val="en-US" w:eastAsia="zh-CN"/>
              </w:rPr>
              <w:t>20%</w:t>
            </w:r>
            <w:r>
              <w:rPr>
                <w:rFonts w:hint="default" w:ascii="宋体" w:hAnsi="宋体"/>
                <w:color w:val="auto"/>
                <w:szCs w:val="21"/>
                <w:highlight w:val="none"/>
              </w:rPr>
              <w:t>;评审为良（实施方案中涉及项目背景、工作目的及对相关政策解读任意两项）加1</w:t>
            </w:r>
            <w:r>
              <w:rPr>
                <w:rFonts w:hint="eastAsia" w:ascii="宋体" w:hAnsi="宋体"/>
                <w:color w:val="auto"/>
                <w:szCs w:val="21"/>
                <w:highlight w:val="none"/>
                <w:lang w:val="en-US" w:eastAsia="zh-CN"/>
              </w:rPr>
              <w:t>0%</w:t>
            </w:r>
            <w:r>
              <w:rPr>
                <w:rFonts w:hint="default" w:ascii="宋体" w:hAnsi="宋体"/>
                <w:color w:val="auto"/>
                <w:szCs w:val="21"/>
                <w:highlight w:val="none"/>
              </w:rPr>
              <w:t>;评审为中(实施方案中涉及项目背景、工作目的及对相关政策解读任意一项)加</w:t>
            </w:r>
            <w:r>
              <w:rPr>
                <w:rFonts w:hint="eastAsia" w:ascii="宋体" w:hAnsi="宋体"/>
                <w:color w:val="auto"/>
                <w:szCs w:val="21"/>
                <w:highlight w:val="none"/>
                <w:lang w:val="en-US" w:eastAsia="zh-CN"/>
              </w:rPr>
              <w:t>5%</w:t>
            </w:r>
            <w:r>
              <w:rPr>
                <w:rFonts w:hint="default" w:ascii="宋体" w:hAnsi="宋体"/>
                <w:color w:val="auto"/>
                <w:szCs w:val="21"/>
                <w:highlight w:val="none"/>
              </w:rPr>
              <w:t>;评审为差（实施方案中未涉及项目背景、工作目的及对相关政策解读）的不加分；评审为差专家须书面说明理由，并记录在档。未提供具体说明的不得分。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5" w:type="dxa"/>
            <w:vMerge w:val="continue"/>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center"/>
              <w:outlineLvl w:val="2"/>
              <w:rPr>
                <w:rFonts w:hint="default" w:ascii="宋体" w:hAnsi="宋体"/>
                <w:color w:val="auto"/>
                <w:szCs w:val="21"/>
                <w:highlight w:val="none"/>
              </w:rPr>
            </w:pPr>
          </w:p>
        </w:tc>
        <w:tc>
          <w:tcPr>
            <w:tcW w:w="731" w:type="dxa"/>
            <w:vAlign w:val="center"/>
          </w:tcPr>
          <w:p>
            <w:pPr>
              <w:keepNext w:val="0"/>
              <w:keepLines w:val="0"/>
              <w:pageBreakBefore w:val="0"/>
              <w:widowControl w:val="0"/>
              <w:numPr>
                <w:ilvl w:val="0"/>
                <w:numId w:val="2"/>
              </w:numPr>
              <w:suppressLineNumbers w:val="0"/>
              <w:kinsoku/>
              <w:wordWrap/>
              <w:overflowPunct/>
              <w:topLinePunct w:val="0"/>
              <w:bidi w:val="0"/>
              <w:snapToGrid/>
              <w:spacing w:before="0" w:beforeAutospacing="0" w:after="0" w:afterAutospacing="0" w:line="440" w:lineRule="exact"/>
              <w:ind w:left="425" w:leftChars="0" w:right="0" w:hanging="425" w:firstLineChars="0"/>
              <w:jc w:val="center"/>
              <w:rPr>
                <w:rFonts w:hint="default" w:ascii="宋体" w:hAnsi="宋体"/>
                <w:color w:val="auto"/>
                <w:szCs w:val="21"/>
                <w:highlight w:val="none"/>
              </w:rPr>
            </w:pPr>
          </w:p>
        </w:tc>
        <w:tc>
          <w:tcPr>
            <w:tcW w:w="1623" w:type="dxa"/>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center"/>
              <w:rPr>
                <w:rFonts w:hint="default" w:ascii="宋体" w:hAnsi="宋体"/>
                <w:color w:val="auto"/>
                <w:szCs w:val="21"/>
                <w:highlight w:val="none"/>
              </w:rPr>
            </w:pPr>
            <w:r>
              <w:rPr>
                <w:rFonts w:hint="default" w:ascii="宋体" w:hAnsi="宋体"/>
                <w:color w:val="auto"/>
                <w:szCs w:val="21"/>
                <w:highlight w:val="none"/>
              </w:rPr>
              <w:t>项目重点难点分析、应对措施及相关的合理化建议</w:t>
            </w:r>
          </w:p>
        </w:tc>
        <w:tc>
          <w:tcPr>
            <w:tcW w:w="925" w:type="dxa"/>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p>
        </w:tc>
        <w:tc>
          <w:tcPr>
            <w:tcW w:w="1235" w:type="dxa"/>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center"/>
              <w:rPr>
                <w:rFonts w:hint="default" w:ascii="宋体" w:hAnsi="宋体"/>
                <w:color w:val="auto"/>
                <w:szCs w:val="21"/>
                <w:highlight w:val="none"/>
              </w:rPr>
            </w:pPr>
            <w:r>
              <w:rPr>
                <w:rFonts w:hint="eastAsia" w:ascii="宋体" w:hAnsi="宋体"/>
                <w:color w:val="auto"/>
                <w:szCs w:val="21"/>
                <w:highlight w:val="none"/>
              </w:rPr>
              <w:t>评委评分</w:t>
            </w:r>
          </w:p>
        </w:tc>
        <w:tc>
          <w:tcPr>
            <w:tcW w:w="3790" w:type="dxa"/>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rPr>
                <w:rFonts w:hint="default" w:ascii="宋体" w:hAnsi="宋体" w:cs="宋体"/>
                <w:b/>
                <w:bCs/>
                <w:color w:val="auto"/>
                <w:szCs w:val="21"/>
                <w:highlight w:val="none"/>
              </w:rPr>
            </w:pPr>
            <w:r>
              <w:rPr>
                <w:rFonts w:hint="default" w:ascii="宋体" w:hAnsi="宋体" w:cs="宋体"/>
                <w:b/>
                <w:bCs/>
                <w:color w:val="auto"/>
                <w:szCs w:val="21"/>
                <w:highlight w:val="none"/>
              </w:rPr>
              <w:t>（一）评审内容：</w:t>
            </w:r>
          </w:p>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rPr>
                <w:rFonts w:hint="default" w:ascii="宋体" w:hAnsi="宋体" w:cs="宋体"/>
                <w:color w:val="auto"/>
                <w:szCs w:val="21"/>
                <w:highlight w:val="none"/>
              </w:rPr>
            </w:pPr>
            <w:r>
              <w:rPr>
                <w:rFonts w:hint="default" w:ascii="宋体" w:hAnsi="宋体" w:cs="宋体"/>
                <w:color w:val="auto"/>
                <w:szCs w:val="21"/>
                <w:highlight w:val="none"/>
              </w:rPr>
              <w:t>针对本项目提供以下方案：</w:t>
            </w:r>
          </w:p>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rPr>
                <w:rFonts w:hint="default" w:ascii="宋体" w:hAnsi="宋体" w:cs="宋体"/>
                <w:color w:val="auto"/>
                <w:szCs w:val="21"/>
                <w:highlight w:val="none"/>
              </w:rPr>
            </w:pPr>
            <w:r>
              <w:rPr>
                <w:rFonts w:hint="default" w:ascii="宋体" w:hAnsi="宋体" w:cs="宋体"/>
                <w:color w:val="auto"/>
                <w:szCs w:val="21"/>
                <w:highlight w:val="none"/>
              </w:rPr>
              <w:t>1、项目重点难点分析方案；</w:t>
            </w:r>
          </w:p>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rPr>
                <w:rFonts w:hint="default" w:ascii="宋体" w:hAnsi="宋体" w:cs="宋体"/>
                <w:color w:val="auto"/>
                <w:szCs w:val="21"/>
                <w:highlight w:val="none"/>
              </w:rPr>
            </w:pPr>
            <w:r>
              <w:rPr>
                <w:rFonts w:hint="default" w:ascii="宋体" w:hAnsi="宋体" w:cs="宋体"/>
                <w:color w:val="auto"/>
                <w:szCs w:val="21"/>
                <w:highlight w:val="none"/>
              </w:rPr>
              <w:t xml:space="preserve">2、应对措施； </w:t>
            </w:r>
          </w:p>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rPr>
                <w:rFonts w:hint="default" w:ascii="宋体" w:hAnsi="宋体" w:cs="宋体"/>
                <w:color w:val="auto"/>
                <w:szCs w:val="21"/>
                <w:highlight w:val="none"/>
              </w:rPr>
            </w:pPr>
            <w:r>
              <w:rPr>
                <w:rFonts w:hint="default" w:ascii="宋体" w:hAnsi="宋体" w:cs="宋体"/>
                <w:color w:val="auto"/>
                <w:szCs w:val="21"/>
                <w:highlight w:val="none"/>
              </w:rPr>
              <w:t>3、相关的合理化建议。</w:t>
            </w:r>
          </w:p>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rPr>
                <w:rFonts w:hint="default" w:ascii="宋体" w:hAnsi="宋体" w:cs="宋体"/>
                <w:b/>
                <w:bCs/>
                <w:color w:val="auto"/>
                <w:szCs w:val="21"/>
                <w:highlight w:val="none"/>
              </w:rPr>
            </w:pPr>
            <w:r>
              <w:rPr>
                <w:rFonts w:hint="default" w:ascii="宋体" w:hAnsi="宋体" w:cs="宋体"/>
                <w:b/>
                <w:bCs/>
                <w:color w:val="auto"/>
                <w:szCs w:val="21"/>
                <w:highlight w:val="none"/>
              </w:rPr>
              <w:t>（二）评审标准：</w:t>
            </w:r>
          </w:p>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rPr>
                <w:rFonts w:hint="default" w:ascii="宋体" w:hAnsi="宋体" w:cs="宋体"/>
                <w:color w:val="auto"/>
                <w:szCs w:val="21"/>
                <w:highlight w:val="none"/>
              </w:rPr>
            </w:pPr>
            <w:r>
              <w:rPr>
                <w:rFonts w:hint="default" w:ascii="宋体" w:hAnsi="宋体" w:cs="宋体"/>
                <w:color w:val="auto"/>
                <w:szCs w:val="21"/>
                <w:highlight w:val="none"/>
              </w:rPr>
              <w:t>满足以上三项要求得</w:t>
            </w:r>
            <w:r>
              <w:rPr>
                <w:rFonts w:hint="eastAsia" w:ascii="宋体" w:hAnsi="宋体" w:cs="宋体"/>
                <w:color w:val="auto"/>
                <w:szCs w:val="21"/>
                <w:highlight w:val="none"/>
                <w:lang w:val="en-US" w:eastAsia="zh-CN"/>
              </w:rPr>
              <w:t>80%</w:t>
            </w:r>
            <w:r>
              <w:rPr>
                <w:rFonts w:hint="default" w:ascii="宋体" w:hAnsi="宋体" w:cs="宋体"/>
                <w:color w:val="auto"/>
                <w:szCs w:val="21"/>
                <w:highlight w:val="none"/>
              </w:rPr>
              <w:t>，满足以上任意两项要求得</w:t>
            </w:r>
            <w:r>
              <w:rPr>
                <w:rFonts w:hint="eastAsia" w:ascii="宋体" w:hAnsi="宋体" w:cs="宋体"/>
                <w:color w:val="auto"/>
                <w:szCs w:val="21"/>
                <w:highlight w:val="none"/>
                <w:lang w:val="en-US" w:eastAsia="zh-CN"/>
              </w:rPr>
              <w:t>60%</w:t>
            </w:r>
            <w:r>
              <w:rPr>
                <w:rFonts w:hint="default" w:ascii="宋体" w:hAnsi="宋体" w:cs="宋体"/>
                <w:color w:val="auto"/>
                <w:szCs w:val="21"/>
                <w:highlight w:val="none"/>
              </w:rPr>
              <w:t>，满足以上任意一项要求得</w:t>
            </w:r>
            <w:r>
              <w:rPr>
                <w:rFonts w:hint="eastAsia" w:ascii="宋体" w:hAnsi="宋体" w:cs="宋体"/>
                <w:color w:val="auto"/>
                <w:szCs w:val="21"/>
                <w:highlight w:val="none"/>
                <w:lang w:val="en-US" w:eastAsia="zh-CN"/>
              </w:rPr>
              <w:t>40%</w:t>
            </w:r>
            <w:r>
              <w:rPr>
                <w:rFonts w:hint="default" w:ascii="宋体" w:hAnsi="宋体" w:cs="宋体"/>
                <w:color w:val="auto"/>
                <w:szCs w:val="21"/>
                <w:highlight w:val="none"/>
              </w:rPr>
              <w:t>，其他不得分；在此基础上，评审为优（对重难点理解准确全面，有针对性详细分析，且能提出符合实际且可行性强的应对措施）的加</w:t>
            </w:r>
            <w:r>
              <w:rPr>
                <w:rFonts w:hint="eastAsia" w:ascii="宋体" w:hAnsi="宋体" w:cs="宋体"/>
                <w:color w:val="auto"/>
                <w:szCs w:val="21"/>
                <w:highlight w:val="none"/>
                <w:lang w:val="en-US" w:eastAsia="zh-CN"/>
              </w:rPr>
              <w:t>20%</w:t>
            </w:r>
            <w:r>
              <w:rPr>
                <w:rFonts w:hint="default" w:ascii="宋体" w:hAnsi="宋体" w:cs="宋体"/>
                <w:color w:val="auto"/>
                <w:szCs w:val="21"/>
                <w:highlight w:val="none"/>
              </w:rPr>
              <w:t>;评审为良（对重难点理解不准确但进行了针对性详细分析或对重难点理解准确但对重难点分析不全面，应对措施详细但不能完全贴合实际或可行性不强）加1</w:t>
            </w:r>
            <w:r>
              <w:rPr>
                <w:rFonts w:hint="eastAsia" w:ascii="宋体" w:hAnsi="宋体" w:cs="宋体"/>
                <w:color w:val="auto"/>
                <w:szCs w:val="21"/>
                <w:highlight w:val="none"/>
                <w:lang w:val="en-US" w:eastAsia="zh-CN"/>
              </w:rPr>
              <w:t>0%</w:t>
            </w:r>
            <w:r>
              <w:rPr>
                <w:rFonts w:hint="default" w:ascii="宋体" w:hAnsi="宋体" w:cs="宋体"/>
                <w:color w:val="auto"/>
                <w:szCs w:val="21"/>
                <w:highlight w:val="none"/>
              </w:rPr>
              <w:t>;评审为中（对重难点理解不准确且重难点分析不全面，应对措施简要且不能贴合实际的）加</w:t>
            </w:r>
            <w:r>
              <w:rPr>
                <w:rFonts w:hint="eastAsia" w:ascii="宋体" w:hAnsi="宋体" w:cs="宋体"/>
                <w:color w:val="auto"/>
                <w:szCs w:val="21"/>
                <w:highlight w:val="none"/>
                <w:lang w:val="en-US" w:eastAsia="zh-CN"/>
              </w:rPr>
              <w:t>5%</w:t>
            </w:r>
            <w:r>
              <w:rPr>
                <w:rFonts w:hint="default" w:ascii="宋体" w:hAnsi="宋体" w:cs="宋体"/>
                <w:color w:val="auto"/>
                <w:szCs w:val="21"/>
                <w:highlight w:val="none"/>
              </w:rPr>
              <w:t>;评审为差（没有正确理解重难点且没有详细分析，应对措施不符合实际的）的不加分；评审为差专家须书面说明理由，并记录在档。未提供具体说明的不得分。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5" w:type="dxa"/>
            <w:vMerge w:val="continue"/>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center"/>
              <w:outlineLvl w:val="2"/>
              <w:rPr>
                <w:rFonts w:hint="default" w:ascii="宋体" w:hAnsi="宋体"/>
                <w:color w:val="auto"/>
                <w:szCs w:val="21"/>
                <w:highlight w:val="none"/>
              </w:rPr>
            </w:pPr>
          </w:p>
        </w:tc>
        <w:tc>
          <w:tcPr>
            <w:tcW w:w="731" w:type="dxa"/>
            <w:vAlign w:val="center"/>
          </w:tcPr>
          <w:p>
            <w:pPr>
              <w:keepNext w:val="0"/>
              <w:keepLines w:val="0"/>
              <w:pageBreakBefore w:val="0"/>
              <w:widowControl w:val="0"/>
              <w:numPr>
                <w:ilvl w:val="0"/>
                <w:numId w:val="2"/>
              </w:numPr>
              <w:suppressLineNumbers w:val="0"/>
              <w:kinsoku/>
              <w:wordWrap/>
              <w:overflowPunct/>
              <w:topLinePunct w:val="0"/>
              <w:bidi w:val="0"/>
              <w:snapToGrid/>
              <w:spacing w:before="0" w:beforeAutospacing="0" w:after="0" w:afterAutospacing="0" w:line="440" w:lineRule="exact"/>
              <w:ind w:left="425" w:leftChars="0" w:right="0" w:hanging="425" w:firstLineChars="0"/>
              <w:jc w:val="center"/>
              <w:rPr>
                <w:rFonts w:hint="default" w:ascii="宋体" w:hAnsi="宋体"/>
                <w:color w:val="auto"/>
                <w:szCs w:val="21"/>
                <w:highlight w:val="none"/>
              </w:rPr>
            </w:pPr>
          </w:p>
        </w:tc>
        <w:tc>
          <w:tcPr>
            <w:tcW w:w="1623" w:type="dxa"/>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center"/>
              <w:rPr>
                <w:rFonts w:hint="default" w:ascii="宋体" w:hAnsi="宋体"/>
                <w:color w:val="auto"/>
                <w:szCs w:val="21"/>
                <w:highlight w:val="none"/>
              </w:rPr>
            </w:pPr>
            <w:r>
              <w:rPr>
                <w:rFonts w:hint="default" w:ascii="宋体" w:hAnsi="宋体"/>
                <w:color w:val="auto"/>
                <w:szCs w:val="21"/>
                <w:highlight w:val="none"/>
              </w:rPr>
              <w:t>质量（完成时间、安全、环保）保障措施及方案</w:t>
            </w:r>
          </w:p>
        </w:tc>
        <w:tc>
          <w:tcPr>
            <w:tcW w:w="925" w:type="dxa"/>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5</w:t>
            </w:r>
          </w:p>
        </w:tc>
        <w:tc>
          <w:tcPr>
            <w:tcW w:w="1235" w:type="dxa"/>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center"/>
              <w:rPr>
                <w:rFonts w:hint="eastAsia" w:ascii="宋体" w:hAnsi="宋体"/>
                <w:color w:val="auto"/>
                <w:szCs w:val="21"/>
                <w:highlight w:val="none"/>
              </w:rPr>
            </w:pPr>
            <w:r>
              <w:rPr>
                <w:rFonts w:hint="eastAsia" w:ascii="宋体" w:hAnsi="宋体"/>
                <w:color w:val="auto"/>
                <w:szCs w:val="21"/>
                <w:highlight w:val="none"/>
              </w:rPr>
              <w:t>评委评分</w:t>
            </w:r>
          </w:p>
        </w:tc>
        <w:tc>
          <w:tcPr>
            <w:tcW w:w="3790" w:type="dxa"/>
            <w:vAlign w:val="center"/>
          </w:tcPr>
          <w:p>
            <w:pPr>
              <w:keepNext w:val="0"/>
              <w:keepLines w:val="0"/>
              <w:numPr>
                <w:ilvl w:val="0"/>
                <w:numId w:val="3"/>
              </w:numPr>
              <w:suppressLineNumbers w:val="0"/>
              <w:spacing w:before="0" w:beforeAutospacing="0" w:after="0" w:afterAutospacing="0"/>
              <w:ind w:left="0" w:right="0"/>
              <w:jc w:val="left"/>
              <w:rPr>
                <w:rFonts w:hint="default" w:ascii="宋体" w:hAnsi="宋体" w:cs="宋体"/>
                <w:b/>
                <w:bCs/>
                <w:color w:val="auto"/>
                <w:szCs w:val="21"/>
                <w:highlight w:val="none"/>
              </w:rPr>
            </w:pPr>
            <w:r>
              <w:rPr>
                <w:rFonts w:hint="eastAsia" w:ascii="宋体" w:hAnsi="宋体" w:cs="宋体"/>
                <w:b/>
                <w:bCs/>
                <w:color w:val="auto"/>
                <w:szCs w:val="21"/>
                <w:highlight w:val="none"/>
              </w:rPr>
              <w:t>评审内容：</w:t>
            </w:r>
          </w:p>
          <w:p>
            <w:pPr>
              <w:pStyle w:val="2"/>
              <w:keepNext w:val="0"/>
              <w:keepLines w:val="0"/>
              <w:suppressLineNumbers w:val="0"/>
              <w:spacing w:before="0" w:beforeAutospacing="0" w:after="0" w:afterAutospacing="0"/>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投标人提供的项目方案须包括以下内容：</w:t>
            </w:r>
          </w:p>
          <w:p>
            <w:pPr>
              <w:keepNext w:val="0"/>
              <w:keepLines w:val="0"/>
              <w:suppressLineNumbers w:val="0"/>
              <w:spacing w:before="0" w:beforeAutospacing="0" w:after="0" w:afterAutospacing="0"/>
              <w:ind w:left="0" w:right="0"/>
              <w:jc w:val="left"/>
              <w:rPr>
                <w:rFonts w:hint="default" w:ascii="宋体" w:hAnsi="宋体" w:cs="宋体"/>
                <w:color w:val="auto"/>
                <w:szCs w:val="21"/>
                <w:highlight w:val="none"/>
              </w:rPr>
            </w:pPr>
            <w:r>
              <w:rPr>
                <w:rFonts w:hint="eastAsia" w:ascii="宋体" w:hAnsi="宋体" w:cs="宋体"/>
                <w:color w:val="auto"/>
                <w:szCs w:val="21"/>
                <w:highlight w:val="none"/>
              </w:rPr>
              <w:t>1、项目进度计划及进度控制措施；</w:t>
            </w:r>
          </w:p>
          <w:p>
            <w:pPr>
              <w:keepNext w:val="0"/>
              <w:keepLines w:val="0"/>
              <w:suppressLineNumbers w:val="0"/>
              <w:spacing w:before="0" w:beforeAutospacing="0" w:after="0" w:afterAutospacing="0"/>
              <w:ind w:left="0" w:right="0"/>
              <w:jc w:val="left"/>
              <w:rPr>
                <w:rFonts w:hint="default" w:ascii="宋体" w:hAnsi="宋体" w:cs="宋体"/>
                <w:color w:val="auto"/>
                <w:szCs w:val="21"/>
                <w:highlight w:val="none"/>
              </w:rPr>
            </w:pPr>
            <w:r>
              <w:rPr>
                <w:rFonts w:hint="eastAsia" w:ascii="宋体" w:hAnsi="宋体" w:cs="宋体"/>
                <w:color w:val="auto"/>
                <w:szCs w:val="21"/>
                <w:highlight w:val="none"/>
              </w:rPr>
              <w:t>2、安全保障措施及</w:t>
            </w:r>
            <w:r>
              <w:rPr>
                <w:rFonts w:hint="eastAsia" w:ascii="宋体" w:hAnsi="宋体" w:cs="宋体"/>
                <w:color w:val="auto"/>
                <w:spacing w:val="-8"/>
                <w:szCs w:val="21"/>
                <w:highlight w:val="none"/>
              </w:rPr>
              <w:t>保密措施；</w:t>
            </w:r>
          </w:p>
          <w:p>
            <w:pPr>
              <w:keepNext w:val="0"/>
              <w:keepLines w:val="0"/>
              <w:suppressLineNumbers w:val="0"/>
              <w:spacing w:before="0" w:beforeAutospacing="0" w:after="0" w:afterAutospacing="0"/>
              <w:ind w:left="0" w:right="0"/>
              <w:jc w:val="left"/>
              <w:rPr>
                <w:rFonts w:hint="default" w:ascii="宋体" w:hAnsi="宋体" w:cs="宋体"/>
                <w:color w:val="auto"/>
                <w:szCs w:val="21"/>
                <w:highlight w:val="none"/>
              </w:rPr>
            </w:pPr>
            <w:r>
              <w:rPr>
                <w:rFonts w:hint="eastAsia" w:ascii="宋体" w:hAnsi="宋体" w:cs="宋体"/>
                <w:color w:val="auto"/>
                <w:spacing w:val="-10"/>
                <w:szCs w:val="21"/>
                <w:highlight w:val="none"/>
              </w:rPr>
              <w:t>3、质量体系及</w:t>
            </w:r>
            <w:r>
              <w:rPr>
                <w:rFonts w:hint="eastAsia" w:ascii="宋体" w:hAnsi="宋体" w:cs="宋体"/>
                <w:color w:val="auto"/>
                <w:szCs w:val="21"/>
                <w:highlight w:val="none"/>
              </w:rPr>
              <w:t>质量控制措施。</w:t>
            </w:r>
          </w:p>
          <w:p>
            <w:pPr>
              <w:keepNext w:val="0"/>
              <w:keepLines w:val="0"/>
              <w:numPr>
                <w:ilvl w:val="255"/>
                <w:numId w:val="0"/>
              </w:numPr>
              <w:suppressLineNumbers w:val="0"/>
              <w:spacing w:before="0" w:beforeAutospacing="0" w:after="0" w:afterAutospacing="0"/>
              <w:ind w:left="0" w:right="0"/>
              <w:jc w:val="left"/>
              <w:rPr>
                <w:rFonts w:hint="default" w:ascii="宋体" w:hAnsi="宋体" w:cs="宋体"/>
                <w:b/>
                <w:bCs/>
                <w:color w:val="auto"/>
                <w:szCs w:val="21"/>
                <w:highlight w:val="none"/>
              </w:rPr>
            </w:pPr>
            <w:r>
              <w:rPr>
                <w:rFonts w:hint="eastAsia" w:ascii="宋体" w:hAnsi="宋体" w:cs="宋体"/>
                <w:b/>
                <w:bCs/>
                <w:color w:val="auto"/>
                <w:szCs w:val="21"/>
                <w:highlight w:val="none"/>
              </w:rPr>
              <w:t>（二）评审标准：</w:t>
            </w:r>
          </w:p>
          <w:p>
            <w:pPr>
              <w:keepNext w:val="0"/>
              <w:keepLines w:val="0"/>
              <w:suppressLineNumbers w:val="0"/>
              <w:spacing w:before="0" w:beforeAutospacing="0" w:after="0" w:afterAutospacing="0"/>
              <w:ind w:left="0" w:right="0"/>
              <w:rPr>
                <w:rFonts w:hint="default" w:ascii="宋体" w:hAnsi="宋体" w:cs="宋体"/>
                <w:color w:val="auto"/>
                <w:szCs w:val="21"/>
                <w:highlight w:val="none"/>
              </w:rPr>
            </w:pPr>
            <w:r>
              <w:rPr>
                <w:rFonts w:hint="eastAsia" w:ascii="宋体" w:hAnsi="宋体" w:cs="宋体"/>
                <w:color w:val="auto"/>
                <w:szCs w:val="21"/>
                <w:highlight w:val="none"/>
              </w:rPr>
              <w:t>满足以上三项要求得</w:t>
            </w:r>
            <w:r>
              <w:rPr>
                <w:rFonts w:hint="eastAsia" w:ascii="宋体" w:hAnsi="宋体" w:cs="宋体"/>
                <w:color w:val="auto"/>
                <w:szCs w:val="21"/>
                <w:highlight w:val="none"/>
                <w:lang w:val="en-US" w:eastAsia="zh-CN"/>
              </w:rPr>
              <w:t>80%</w:t>
            </w:r>
            <w:r>
              <w:rPr>
                <w:rFonts w:hint="eastAsia" w:ascii="宋体" w:hAnsi="宋体" w:cs="宋体"/>
                <w:color w:val="auto"/>
                <w:szCs w:val="21"/>
                <w:highlight w:val="none"/>
              </w:rPr>
              <w:t>，满足以上任意两项要求得</w:t>
            </w:r>
            <w:r>
              <w:rPr>
                <w:rFonts w:hint="eastAsia" w:ascii="宋体" w:hAnsi="宋体" w:cs="宋体"/>
                <w:color w:val="auto"/>
                <w:szCs w:val="21"/>
                <w:highlight w:val="none"/>
                <w:lang w:val="en-US" w:eastAsia="zh-CN"/>
              </w:rPr>
              <w:t>60%</w:t>
            </w:r>
            <w:r>
              <w:rPr>
                <w:rFonts w:hint="eastAsia" w:ascii="宋体" w:hAnsi="宋体" w:cs="宋体"/>
                <w:color w:val="auto"/>
                <w:szCs w:val="21"/>
                <w:highlight w:val="none"/>
              </w:rPr>
              <w:t>，满足以上任意一项要求得</w:t>
            </w:r>
            <w:r>
              <w:rPr>
                <w:rFonts w:hint="eastAsia" w:ascii="宋体" w:hAnsi="宋体" w:cs="宋体"/>
                <w:color w:val="auto"/>
                <w:szCs w:val="21"/>
                <w:highlight w:val="none"/>
                <w:lang w:val="en-US" w:eastAsia="zh-CN"/>
              </w:rPr>
              <w:t>40%</w:t>
            </w:r>
            <w:r>
              <w:rPr>
                <w:rFonts w:hint="eastAsia" w:ascii="宋体" w:hAnsi="宋体" w:cs="宋体"/>
                <w:color w:val="auto"/>
                <w:szCs w:val="21"/>
                <w:highlight w:val="none"/>
              </w:rPr>
              <w:t>，其他不得分；在此基础上，评审为优（质量（完成时间、安全、环保）保障措施及方案内容全面、针对性强、可操作性强）的加2</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;评审为良（质量（完成时间、安全、环保）保障措施及方案较全面、针对性较强、可操作性较强）加1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;评审为中（质量（完成时间、安全、环保）保障措施及方案内容完整性、针对性、可操作性均一般）加</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;评审为差（质量（完成时间、安全、环保）保障措施及方案内容不完善、针对性较弱、可操作性不强）的不加分；评审为差专家须书面说明理由，并记录在档。未提供具体说明的不得分。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5" w:type="dxa"/>
            <w:vMerge w:val="continue"/>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center"/>
              <w:outlineLvl w:val="2"/>
              <w:rPr>
                <w:rFonts w:hint="default" w:ascii="宋体" w:hAnsi="宋体"/>
                <w:color w:val="auto"/>
                <w:szCs w:val="21"/>
                <w:highlight w:val="none"/>
              </w:rPr>
            </w:pPr>
          </w:p>
        </w:tc>
        <w:tc>
          <w:tcPr>
            <w:tcW w:w="731" w:type="dxa"/>
            <w:vAlign w:val="center"/>
          </w:tcPr>
          <w:p>
            <w:pPr>
              <w:keepNext w:val="0"/>
              <w:keepLines w:val="0"/>
              <w:pageBreakBefore w:val="0"/>
              <w:widowControl w:val="0"/>
              <w:numPr>
                <w:ilvl w:val="0"/>
                <w:numId w:val="2"/>
              </w:numPr>
              <w:suppressLineNumbers w:val="0"/>
              <w:kinsoku/>
              <w:wordWrap/>
              <w:overflowPunct/>
              <w:topLinePunct w:val="0"/>
              <w:bidi w:val="0"/>
              <w:snapToGrid/>
              <w:spacing w:before="0" w:beforeAutospacing="0" w:after="0" w:afterAutospacing="0" w:line="440" w:lineRule="exact"/>
              <w:ind w:left="425" w:leftChars="0" w:right="0" w:hanging="425" w:firstLineChars="0"/>
              <w:jc w:val="center"/>
              <w:rPr>
                <w:rFonts w:hint="default" w:ascii="宋体" w:hAnsi="宋体"/>
                <w:color w:val="auto"/>
                <w:szCs w:val="21"/>
                <w:highlight w:val="none"/>
              </w:rPr>
            </w:pPr>
          </w:p>
        </w:tc>
        <w:tc>
          <w:tcPr>
            <w:tcW w:w="1623" w:type="dxa"/>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center"/>
              <w:rPr>
                <w:rFonts w:hint="default" w:ascii="宋体" w:hAnsi="宋体"/>
                <w:color w:val="auto"/>
                <w:szCs w:val="21"/>
                <w:highlight w:val="none"/>
              </w:rPr>
            </w:pPr>
            <w:r>
              <w:rPr>
                <w:rFonts w:hint="default" w:ascii="宋体" w:hAnsi="宋体"/>
                <w:color w:val="auto"/>
                <w:szCs w:val="21"/>
                <w:highlight w:val="none"/>
              </w:rPr>
              <w:t>项目完成（服务期满）后的服务承诺</w:t>
            </w:r>
          </w:p>
        </w:tc>
        <w:tc>
          <w:tcPr>
            <w:tcW w:w="925" w:type="dxa"/>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5</w:t>
            </w:r>
          </w:p>
        </w:tc>
        <w:tc>
          <w:tcPr>
            <w:tcW w:w="1235" w:type="dxa"/>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center"/>
              <w:rPr>
                <w:rFonts w:hint="eastAsia" w:ascii="宋体" w:hAnsi="宋体"/>
                <w:color w:val="auto"/>
                <w:szCs w:val="21"/>
                <w:highlight w:val="none"/>
              </w:rPr>
            </w:pPr>
            <w:r>
              <w:rPr>
                <w:rFonts w:hint="eastAsia" w:ascii="宋体" w:hAnsi="宋体"/>
                <w:color w:val="auto"/>
                <w:szCs w:val="21"/>
                <w:highlight w:val="none"/>
              </w:rPr>
              <w:t>评委评分</w:t>
            </w:r>
          </w:p>
        </w:tc>
        <w:tc>
          <w:tcPr>
            <w:tcW w:w="3790" w:type="dxa"/>
            <w:vAlign w:val="center"/>
          </w:tcPr>
          <w:p>
            <w:pPr>
              <w:keepNext w:val="0"/>
              <w:keepLines w:val="0"/>
              <w:suppressLineNumbers w:val="0"/>
              <w:spacing w:before="0" w:beforeAutospacing="0" w:after="0" w:afterAutospacing="0"/>
              <w:ind w:left="0" w:right="0"/>
              <w:jc w:val="left"/>
              <w:rPr>
                <w:rFonts w:hint="default" w:ascii="宋体" w:hAnsi="宋体" w:cs="宋体"/>
                <w:b/>
                <w:bCs/>
                <w:color w:val="auto"/>
                <w:szCs w:val="21"/>
                <w:highlight w:val="none"/>
              </w:rPr>
            </w:pPr>
            <w:r>
              <w:rPr>
                <w:rFonts w:hint="eastAsia" w:ascii="宋体" w:hAnsi="宋体" w:cs="宋体"/>
                <w:b/>
                <w:bCs/>
                <w:color w:val="auto"/>
                <w:szCs w:val="21"/>
                <w:highlight w:val="none"/>
              </w:rPr>
              <w:t>（一）评审内容：</w:t>
            </w:r>
          </w:p>
          <w:p>
            <w:pPr>
              <w:keepNext w:val="0"/>
              <w:keepLines w:val="0"/>
              <w:suppressLineNumbers w:val="0"/>
              <w:wordWrap w:val="0"/>
              <w:spacing w:before="0" w:beforeAutospacing="0" w:after="0" w:afterAutospacing="0"/>
              <w:ind w:left="0" w:right="0"/>
              <w:jc w:val="left"/>
              <w:rPr>
                <w:rFonts w:hint="default" w:ascii="宋体" w:hAnsi="宋体" w:cs="宋体"/>
                <w:color w:val="auto"/>
                <w:szCs w:val="21"/>
                <w:highlight w:val="none"/>
              </w:rPr>
            </w:pPr>
            <w:r>
              <w:rPr>
                <w:rFonts w:hint="default"/>
                <w:color w:val="auto"/>
                <w:szCs w:val="21"/>
                <w:highlight w:val="none"/>
              </w:rPr>
              <w:t xml:space="preserve">投标人需承诺项目完成后，将按照采购人的要求提供或整理项目的相关资料等要求。 </w:t>
            </w:r>
          </w:p>
          <w:p>
            <w:pPr>
              <w:keepNext w:val="0"/>
              <w:keepLines w:val="0"/>
              <w:numPr>
                <w:ilvl w:val="255"/>
                <w:numId w:val="0"/>
              </w:numPr>
              <w:suppressLineNumbers w:val="0"/>
              <w:spacing w:before="0" w:beforeAutospacing="0" w:after="0" w:afterAutospacing="0"/>
              <w:ind w:left="0" w:right="0"/>
              <w:jc w:val="left"/>
              <w:rPr>
                <w:rFonts w:hint="default" w:ascii="宋体" w:hAnsi="宋体" w:cs="宋体"/>
                <w:b/>
                <w:bCs/>
                <w:color w:val="auto"/>
                <w:szCs w:val="21"/>
                <w:highlight w:val="none"/>
              </w:rPr>
            </w:pPr>
            <w:r>
              <w:rPr>
                <w:rFonts w:hint="eastAsia" w:ascii="宋体" w:hAnsi="宋体" w:cs="宋体"/>
                <w:b/>
                <w:bCs/>
                <w:color w:val="auto"/>
                <w:szCs w:val="21"/>
                <w:highlight w:val="none"/>
              </w:rPr>
              <w:t>（二）评审标准：</w:t>
            </w:r>
          </w:p>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default"/>
                <w:color w:val="auto"/>
                <w:szCs w:val="21"/>
                <w:highlight w:val="none"/>
              </w:rPr>
              <w:t>投标人提供相关承诺函（格式自拟）得</w:t>
            </w:r>
            <w:r>
              <w:rPr>
                <w:rFonts w:hint="eastAsia"/>
                <w:color w:val="auto"/>
                <w:szCs w:val="21"/>
                <w:highlight w:val="none"/>
                <w:lang w:eastAsia="zh-CN"/>
              </w:rPr>
              <w:t>满</w:t>
            </w:r>
            <w:r>
              <w:rPr>
                <w:rFonts w:hint="default"/>
                <w:color w:val="auto"/>
                <w:szCs w:val="21"/>
                <w:highlight w:val="none"/>
              </w:rPr>
              <w:t>分，未按要求提供或无法判断则不得分。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5" w:type="dxa"/>
            <w:vMerge w:val="continue"/>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center"/>
              <w:outlineLvl w:val="2"/>
              <w:rPr>
                <w:rFonts w:hint="default" w:ascii="宋体" w:hAnsi="宋体"/>
                <w:color w:val="auto"/>
                <w:szCs w:val="21"/>
                <w:highlight w:val="none"/>
              </w:rPr>
            </w:pPr>
          </w:p>
        </w:tc>
        <w:tc>
          <w:tcPr>
            <w:tcW w:w="731" w:type="dxa"/>
            <w:vAlign w:val="center"/>
          </w:tcPr>
          <w:p>
            <w:pPr>
              <w:keepNext w:val="0"/>
              <w:keepLines w:val="0"/>
              <w:pageBreakBefore w:val="0"/>
              <w:widowControl w:val="0"/>
              <w:numPr>
                <w:ilvl w:val="0"/>
                <w:numId w:val="2"/>
              </w:numPr>
              <w:suppressLineNumbers w:val="0"/>
              <w:kinsoku/>
              <w:wordWrap/>
              <w:overflowPunct/>
              <w:topLinePunct w:val="0"/>
              <w:bidi w:val="0"/>
              <w:snapToGrid/>
              <w:spacing w:before="0" w:beforeAutospacing="0" w:after="0" w:afterAutospacing="0" w:line="440" w:lineRule="exact"/>
              <w:ind w:left="425" w:leftChars="0" w:right="0" w:hanging="425" w:firstLineChars="0"/>
              <w:jc w:val="center"/>
              <w:rPr>
                <w:rFonts w:hint="default" w:ascii="宋体" w:hAnsi="宋体"/>
                <w:color w:val="auto"/>
                <w:szCs w:val="21"/>
                <w:highlight w:val="none"/>
              </w:rPr>
            </w:pPr>
          </w:p>
        </w:tc>
        <w:tc>
          <w:tcPr>
            <w:tcW w:w="1623" w:type="dxa"/>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center"/>
              <w:rPr>
                <w:rFonts w:hint="default" w:ascii="宋体" w:hAnsi="宋体"/>
                <w:color w:val="auto"/>
                <w:szCs w:val="21"/>
                <w:highlight w:val="none"/>
              </w:rPr>
            </w:pPr>
            <w:r>
              <w:rPr>
                <w:rFonts w:hint="eastAsia" w:ascii="新宋体" w:hAnsi="新宋体" w:eastAsia="新宋体"/>
                <w:color w:val="auto"/>
                <w:szCs w:val="21"/>
                <w:highlight w:val="none"/>
              </w:rPr>
              <w:t>违约承诺</w:t>
            </w:r>
          </w:p>
        </w:tc>
        <w:tc>
          <w:tcPr>
            <w:tcW w:w="925" w:type="dxa"/>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5</w:t>
            </w:r>
          </w:p>
        </w:tc>
        <w:tc>
          <w:tcPr>
            <w:tcW w:w="1235" w:type="dxa"/>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评委评分</w:t>
            </w:r>
          </w:p>
        </w:tc>
        <w:tc>
          <w:tcPr>
            <w:tcW w:w="3790" w:type="dxa"/>
            <w:vAlign w:val="center"/>
          </w:tcPr>
          <w:p>
            <w:pPr>
              <w:keepNext w:val="0"/>
              <w:keepLines w:val="0"/>
              <w:numPr>
                <w:ilvl w:val="0"/>
                <w:numId w:val="4"/>
              </w:numPr>
              <w:suppressLineNumbers w:val="0"/>
              <w:spacing w:before="0" w:beforeAutospacing="0" w:after="0" w:afterAutospacing="0"/>
              <w:ind w:left="0" w:right="0"/>
              <w:jc w:val="left"/>
              <w:rPr>
                <w:rFonts w:hint="eastAsia" w:ascii="宋体" w:hAnsi="宋体" w:cs="宋体"/>
                <w:b/>
                <w:bCs/>
                <w:color w:val="auto"/>
                <w:szCs w:val="21"/>
                <w:highlight w:val="none"/>
              </w:rPr>
            </w:pPr>
            <w:r>
              <w:rPr>
                <w:rFonts w:hint="eastAsia" w:ascii="宋体" w:hAnsi="宋体" w:cs="宋体"/>
                <w:b/>
                <w:bCs/>
                <w:color w:val="auto"/>
                <w:szCs w:val="21"/>
                <w:highlight w:val="none"/>
              </w:rPr>
              <w:t>评审内容：</w:t>
            </w:r>
          </w:p>
          <w:p>
            <w:pPr>
              <w:keepNext w:val="0"/>
              <w:keepLines w:val="0"/>
              <w:numPr>
                <w:ilvl w:val="0"/>
                <w:numId w:val="0"/>
              </w:numPr>
              <w:suppressLineNumbers w:val="0"/>
              <w:spacing w:before="0" w:beforeAutospacing="0" w:after="0" w:afterAutospacing="0"/>
              <w:ind w:left="0" w:right="0" w:rightChars="0"/>
              <w:jc w:val="left"/>
              <w:rPr>
                <w:rFonts w:hint="eastAsia" w:ascii="宋体" w:hAnsi="宋体" w:eastAsia="宋体" w:cs="宋体"/>
                <w:b w:val="0"/>
                <w:bCs w:val="0"/>
                <w:color w:val="auto"/>
                <w:szCs w:val="21"/>
                <w:highlight w:val="none"/>
                <w:lang w:eastAsia="zh-CN"/>
              </w:rPr>
            </w:pPr>
            <w:r>
              <w:rPr>
                <w:rFonts w:hint="eastAsia" w:ascii="宋体" w:hAnsi="宋体" w:cs="宋体"/>
                <w:b w:val="0"/>
                <w:bCs w:val="0"/>
                <w:color w:val="auto"/>
                <w:szCs w:val="21"/>
                <w:highlight w:val="none"/>
              </w:rPr>
              <w:t>投标人根据需求出具违约承诺函</w:t>
            </w:r>
            <w:r>
              <w:rPr>
                <w:rFonts w:hint="eastAsia" w:ascii="宋体" w:hAnsi="宋体" w:cs="宋体"/>
                <w:b w:val="0"/>
                <w:bCs w:val="0"/>
                <w:color w:val="auto"/>
                <w:szCs w:val="21"/>
                <w:highlight w:val="none"/>
                <w:lang w:eastAsia="zh-CN"/>
              </w:rPr>
              <w:t>。</w:t>
            </w:r>
          </w:p>
          <w:p>
            <w:pPr>
              <w:keepNext w:val="0"/>
              <w:keepLines w:val="0"/>
              <w:suppressLineNumbers w:val="0"/>
              <w:spacing w:before="0" w:beforeAutospacing="0" w:after="0" w:afterAutospacing="0"/>
              <w:ind w:left="0" w:right="0"/>
              <w:jc w:val="lef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1</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违约承诺内容全面；</w:t>
            </w:r>
          </w:p>
          <w:p>
            <w:pPr>
              <w:keepNext w:val="0"/>
              <w:keepLines w:val="0"/>
              <w:suppressLineNumbers w:val="0"/>
              <w:spacing w:before="0" w:beforeAutospacing="0" w:after="0" w:afterAutospacing="0"/>
              <w:ind w:left="0" w:right="0"/>
              <w:jc w:val="lef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2</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违约承诺内容具体；</w:t>
            </w:r>
          </w:p>
          <w:p>
            <w:pPr>
              <w:keepNext w:val="0"/>
              <w:keepLines w:val="0"/>
              <w:suppressLineNumbers w:val="0"/>
              <w:spacing w:before="0" w:beforeAutospacing="0" w:after="0" w:afterAutospacing="0"/>
              <w:ind w:left="0" w:right="0"/>
              <w:jc w:val="lef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3</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违约承诺内容针对性强；</w:t>
            </w:r>
          </w:p>
          <w:p>
            <w:pPr>
              <w:keepNext w:val="0"/>
              <w:keepLines w:val="0"/>
              <w:suppressLineNumbers w:val="0"/>
              <w:spacing w:before="0" w:beforeAutospacing="0" w:after="0" w:afterAutospacing="0"/>
              <w:ind w:left="0" w:right="0"/>
              <w:jc w:val="lef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4</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违约承诺内容科学合理；</w:t>
            </w:r>
          </w:p>
          <w:p>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Cs w:val="21"/>
                <w:highlight w:val="none"/>
                <w:lang w:eastAsia="zh-CN"/>
              </w:rPr>
            </w:pPr>
            <w:r>
              <w:rPr>
                <w:rFonts w:hint="eastAsia" w:ascii="宋体" w:hAnsi="宋体" w:cs="宋体"/>
                <w:b w:val="0"/>
                <w:bCs w:val="0"/>
                <w:color w:val="auto"/>
                <w:szCs w:val="21"/>
                <w:highlight w:val="none"/>
              </w:rPr>
              <w:t>5</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违约承诺内容可操作性强</w:t>
            </w:r>
            <w:r>
              <w:rPr>
                <w:rFonts w:hint="eastAsia" w:ascii="宋体" w:hAnsi="宋体" w:cs="宋体"/>
                <w:b w:val="0"/>
                <w:bCs w:val="0"/>
                <w:color w:val="auto"/>
                <w:szCs w:val="21"/>
                <w:highlight w:val="none"/>
                <w:lang w:eastAsia="zh-CN"/>
              </w:rPr>
              <w:t>。</w:t>
            </w:r>
          </w:p>
          <w:p>
            <w:pPr>
              <w:keepNext w:val="0"/>
              <w:keepLines w:val="0"/>
              <w:numPr>
                <w:ilvl w:val="255"/>
                <w:numId w:val="0"/>
              </w:numPr>
              <w:suppressLineNumbers w:val="0"/>
              <w:spacing w:before="0" w:beforeAutospacing="0" w:after="0" w:afterAutospacing="0"/>
              <w:ind w:left="0" w:right="0"/>
              <w:jc w:val="left"/>
              <w:rPr>
                <w:rFonts w:hint="default" w:ascii="宋体" w:hAnsi="宋体" w:cs="宋体"/>
                <w:b/>
                <w:bCs/>
                <w:color w:val="auto"/>
                <w:szCs w:val="21"/>
                <w:highlight w:val="none"/>
              </w:rPr>
            </w:pPr>
            <w:r>
              <w:rPr>
                <w:rFonts w:hint="eastAsia" w:ascii="宋体" w:hAnsi="宋体" w:cs="宋体"/>
                <w:b/>
                <w:bCs/>
                <w:color w:val="auto"/>
                <w:szCs w:val="21"/>
                <w:highlight w:val="none"/>
              </w:rPr>
              <w:t>（二）评审标准：</w:t>
            </w:r>
          </w:p>
          <w:p>
            <w:pPr>
              <w:keepNext w:val="0"/>
              <w:keepLines w:val="0"/>
              <w:suppressLineNumbers w:val="0"/>
              <w:spacing w:before="0" w:beforeAutospacing="0" w:after="0" w:afterAutospacing="0"/>
              <w:ind w:left="0" w:right="0"/>
              <w:jc w:val="left"/>
              <w:rPr>
                <w:rFonts w:hint="eastAsia" w:ascii="宋体" w:hAnsi="宋体" w:eastAsia="宋体" w:cs="宋体"/>
                <w:b/>
                <w:bCs/>
                <w:color w:val="auto"/>
                <w:szCs w:val="21"/>
                <w:highlight w:val="none"/>
                <w:lang w:val="en-US" w:eastAsia="zh-CN"/>
              </w:rPr>
            </w:pPr>
            <w:r>
              <w:rPr>
                <w:rFonts w:hint="default" w:ascii="宋体" w:hAnsi="宋体" w:cs="宋体"/>
                <w:color w:val="auto"/>
                <w:szCs w:val="21"/>
                <w:highlight w:val="none"/>
              </w:rPr>
              <w:t>满足以上</w:t>
            </w:r>
            <w:r>
              <w:rPr>
                <w:rFonts w:hint="eastAsia" w:ascii="宋体" w:hAnsi="宋体" w:cs="宋体"/>
                <w:color w:val="auto"/>
                <w:szCs w:val="21"/>
                <w:highlight w:val="none"/>
                <w:lang w:val="en-US" w:eastAsia="zh-CN"/>
              </w:rPr>
              <w:t>五</w:t>
            </w:r>
            <w:r>
              <w:rPr>
                <w:rFonts w:hint="default" w:ascii="宋体" w:hAnsi="宋体" w:cs="宋体"/>
                <w:color w:val="auto"/>
                <w:szCs w:val="21"/>
                <w:highlight w:val="none"/>
              </w:rPr>
              <w:t>项要求得</w:t>
            </w:r>
            <w:r>
              <w:rPr>
                <w:rFonts w:hint="eastAsia" w:ascii="宋体" w:hAnsi="宋体" w:cs="宋体"/>
                <w:color w:val="auto"/>
                <w:szCs w:val="21"/>
                <w:highlight w:val="none"/>
                <w:lang w:val="en-US" w:eastAsia="zh-CN"/>
              </w:rPr>
              <w:t>100%</w:t>
            </w:r>
            <w:r>
              <w:rPr>
                <w:rFonts w:hint="default" w:ascii="宋体" w:hAnsi="宋体" w:cs="宋体"/>
                <w:color w:val="auto"/>
                <w:szCs w:val="21"/>
                <w:highlight w:val="none"/>
              </w:rPr>
              <w:t>，满足以上任意</w:t>
            </w:r>
            <w:r>
              <w:rPr>
                <w:rFonts w:hint="eastAsia" w:ascii="宋体" w:hAnsi="宋体" w:cs="宋体"/>
                <w:color w:val="auto"/>
                <w:szCs w:val="21"/>
                <w:highlight w:val="none"/>
                <w:lang w:val="en-US" w:eastAsia="zh-CN"/>
              </w:rPr>
              <w:t>四</w:t>
            </w:r>
            <w:r>
              <w:rPr>
                <w:rFonts w:hint="default" w:ascii="宋体" w:hAnsi="宋体" w:cs="宋体"/>
                <w:color w:val="auto"/>
                <w:szCs w:val="21"/>
                <w:highlight w:val="none"/>
              </w:rPr>
              <w:t>项要求得</w:t>
            </w:r>
            <w:r>
              <w:rPr>
                <w:rFonts w:hint="eastAsia" w:ascii="宋体" w:hAnsi="宋体" w:cs="宋体"/>
                <w:color w:val="auto"/>
                <w:szCs w:val="21"/>
                <w:highlight w:val="none"/>
                <w:lang w:val="en-US" w:eastAsia="zh-CN"/>
              </w:rPr>
              <w:t>80%</w:t>
            </w:r>
            <w:r>
              <w:rPr>
                <w:rFonts w:hint="default" w:ascii="宋体" w:hAnsi="宋体" w:cs="宋体"/>
                <w:color w:val="auto"/>
                <w:szCs w:val="21"/>
                <w:highlight w:val="none"/>
              </w:rPr>
              <w:t>，满足以上任意</w:t>
            </w:r>
            <w:r>
              <w:rPr>
                <w:rFonts w:hint="eastAsia" w:ascii="宋体" w:hAnsi="宋体" w:cs="宋体"/>
                <w:color w:val="auto"/>
                <w:szCs w:val="21"/>
                <w:highlight w:val="none"/>
                <w:lang w:val="en-US" w:eastAsia="zh-CN"/>
              </w:rPr>
              <w:t>三</w:t>
            </w:r>
            <w:r>
              <w:rPr>
                <w:rFonts w:hint="default" w:ascii="宋体" w:hAnsi="宋体" w:cs="宋体"/>
                <w:color w:val="auto"/>
                <w:szCs w:val="21"/>
                <w:highlight w:val="none"/>
              </w:rPr>
              <w:t>项要求得</w:t>
            </w:r>
            <w:r>
              <w:rPr>
                <w:rFonts w:hint="eastAsia" w:ascii="宋体" w:hAnsi="宋体" w:cs="宋体"/>
                <w:color w:val="auto"/>
                <w:szCs w:val="21"/>
                <w:highlight w:val="none"/>
                <w:lang w:val="en-US" w:eastAsia="zh-CN"/>
              </w:rPr>
              <w:t>60%</w:t>
            </w:r>
            <w:r>
              <w:rPr>
                <w:rFonts w:hint="default" w:ascii="宋体" w:hAnsi="宋体" w:cs="宋体"/>
                <w:color w:val="auto"/>
                <w:szCs w:val="21"/>
                <w:highlight w:val="none"/>
              </w:rPr>
              <w:t>，满足以上任意</w:t>
            </w:r>
            <w:r>
              <w:rPr>
                <w:rFonts w:hint="eastAsia" w:ascii="宋体" w:hAnsi="宋体" w:cs="宋体"/>
                <w:color w:val="auto"/>
                <w:szCs w:val="21"/>
                <w:highlight w:val="none"/>
                <w:lang w:val="en-US" w:eastAsia="zh-CN"/>
              </w:rPr>
              <w:t>两</w:t>
            </w:r>
            <w:r>
              <w:rPr>
                <w:rFonts w:hint="default" w:ascii="宋体" w:hAnsi="宋体" w:cs="宋体"/>
                <w:color w:val="auto"/>
                <w:szCs w:val="21"/>
                <w:highlight w:val="none"/>
              </w:rPr>
              <w:t>项要求得</w:t>
            </w:r>
            <w:r>
              <w:rPr>
                <w:rFonts w:hint="eastAsia" w:ascii="宋体" w:hAnsi="宋体" w:cs="宋体"/>
                <w:color w:val="auto"/>
                <w:szCs w:val="21"/>
                <w:highlight w:val="none"/>
                <w:lang w:val="en-US" w:eastAsia="zh-CN"/>
              </w:rPr>
              <w:t>40%</w:t>
            </w:r>
            <w:r>
              <w:rPr>
                <w:rFonts w:hint="default" w:ascii="宋体" w:hAnsi="宋体" w:cs="宋体"/>
                <w:color w:val="auto"/>
                <w:szCs w:val="21"/>
                <w:highlight w:val="none"/>
              </w:rPr>
              <w:t>，满足以上任意</w:t>
            </w:r>
            <w:r>
              <w:rPr>
                <w:rFonts w:hint="eastAsia" w:ascii="宋体" w:hAnsi="宋体" w:cs="宋体"/>
                <w:color w:val="auto"/>
                <w:szCs w:val="21"/>
                <w:highlight w:val="none"/>
                <w:lang w:val="en-US" w:eastAsia="zh-CN"/>
              </w:rPr>
              <w:t>一</w:t>
            </w:r>
            <w:r>
              <w:rPr>
                <w:rFonts w:hint="default" w:ascii="宋体" w:hAnsi="宋体" w:cs="宋体"/>
                <w:color w:val="auto"/>
                <w:szCs w:val="21"/>
                <w:highlight w:val="none"/>
              </w:rPr>
              <w:t>项要求得</w:t>
            </w:r>
            <w:r>
              <w:rPr>
                <w:rFonts w:hint="eastAsia" w:ascii="宋体" w:hAnsi="宋体" w:cs="宋体"/>
                <w:color w:val="auto"/>
                <w:szCs w:val="21"/>
                <w:highlight w:val="none"/>
                <w:lang w:val="en-US" w:eastAsia="zh-CN"/>
              </w:rPr>
              <w:t>20%</w:t>
            </w:r>
            <w:r>
              <w:rPr>
                <w:rFonts w:hint="default" w:ascii="宋体" w:hAnsi="宋体" w:cs="宋体"/>
                <w:color w:val="auto"/>
                <w:szCs w:val="21"/>
                <w:highlight w:val="none"/>
              </w:rPr>
              <w:t>，其他不得分</w:t>
            </w:r>
            <w:r>
              <w:rPr>
                <w:rFonts w:hint="eastAsia" w:ascii="宋体" w:hAnsi="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5" w:type="dxa"/>
            <w:vMerge w:val="continue"/>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center"/>
              <w:rPr>
                <w:rFonts w:hint="default" w:ascii="宋体" w:hAnsi="宋体"/>
                <w:color w:val="auto"/>
                <w:szCs w:val="21"/>
                <w:highlight w:val="none"/>
              </w:rPr>
            </w:pPr>
          </w:p>
        </w:tc>
        <w:tc>
          <w:tcPr>
            <w:tcW w:w="731" w:type="dxa"/>
            <w:vAlign w:val="center"/>
          </w:tcPr>
          <w:p>
            <w:pPr>
              <w:keepNext w:val="0"/>
              <w:keepLines w:val="0"/>
              <w:pageBreakBefore w:val="0"/>
              <w:widowControl w:val="0"/>
              <w:numPr>
                <w:ilvl w:val="0"/>
                <w:numId w:val="2"/>
              </w:numPr>
              <w:suppressLineNumbers w:val="0"/>
              <w:kinsoku/>
              <w:wordWrap/>
              <w:overflowPunct/>
              <w:topLinePunct w:val="0"/>
              <w:bidi w:val="0"/>
              <w:snapToGrid/>
              <w:spacing w:before="0" w:beforeAutospacing="0" w:after="0" w:afterAutospacing="0" w:line="440" w:lineRule="exact"/>
              <w:ind w:left="425" w:leftChars="0" w:right="0" w:hanging="425" w:firstLineChars="0"/>
              <w:jc w:val="center"/>
              <w:rPr>
                <w:rFonts w:hint="default" w:ascii="宋体" w:hAnsi="宋体"/>
                <w:color w:val="auto"/>
                <w:szCs w:val="21"/>
                <w:highlight w:val="none"/>
              </w:rPr>
            </w:pPr>
          </w:p>
        </w:tc>
        <w:tc>
          <w:tcPr>
            <w:tcW w:w="1623" w:type="dxa"/>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center"/>
              <w:rPr>
                <w:rFonts w:hint="default" w:ascii="宋体" w:hAnsi="宋体"/>
                <w:color w:val="auto"/>
                <w:szCs w:val="21"/>
                <w:highlight w:val="none"/>
              </w:rPr>
            </w:pPr>
            <w:r>
              <w:rPr>
                <w:rFonts w:hint="default" w:ascii="宋体" w:hAnsi="宋体"/>
                <w:color w:val="auto"/>
                <w:szCs w:val="21"/>
                <w:highlight w:val="none"/>
              </w:rPr>
              <w:t>拟安排的项目负责人情况（仅限1人）</w:t>
            </w:r>
          </w:p>
        </w:tc>
        <w:tc>
          <w:tcPr>
            <w:tcW w:w="925" w:type="dxa"/>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5</w:t>
            </w:r>
          </w:p>
        </w:tc>
        <w:tc>
          <w:tcPr>
            <w:tcW w:w="1235" w:type="dxa"/>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center"/>
              <w:rPr>
                <w:rFonts w:hint="default" w:ascii="宋体" w:hAnsi="宋体"/>
                <w:color w:val="auto"/>
                <w:szCs w:val="21"/>
                <w:highlight w:val="none"/>
              </w:rPr>
            </w:pPr>
            <w:r>
              <w:rPr>
                <w:rFonts w:hint="eastAsia" w:ascii="宋体" w:hAnsi="宋体"/>
                <w:color w:val="auto"/>
                <w:szCs w:val="21"/>
                <w:highlight w:val="none"/>
              </w:rPr>
              <w:t>评委评分</w:t>
            </w:r>
          </w:p>
        </w:tc>
        <w:tc>
          <w:tcPr>
            <w:tcW w:w="3790" w:type="dxa"/>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rPr>
                <w:rFonts w:hint="default" w:ascii="宋体" w:hAnsi="宋体" w:cs="宋体"/>
                <w:b w:val="0"/>
                <w:bCs w:val="0"/>
                <w:color w:val="auto"/>
                <w:szCs w:val="21"/>
                <w:highlight w:val="none"/>
              </w:rPr>
            </w:pPr>
            <w:r>
              <w:rPr>
                <w:rFonts w:hint="default" w:ascii="宋体" w:hAnsi="宋体" w:cs="宋体"/>
                <w:b w:val="0"/>
                <w:bCs w:val="0"/>
                <w:color w:val="auto"/>
                <w:szCs w:val="21"/>
                <w:highlight w:val="none"/>
              </w:rPr>
              <w:t>拟安排本项目负责人须为投标人在职员工（以社保证明文件为准），不满足社保文件要求的，本项不得分。</w:t>
            </w:r>
          </w:p>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rPr>
                <w:rFonts w:hint="default" w:ascii="宋体" w:hAnsi="宋体" w:cs="宋体"/>
                <w:b w:val="0"/>
                <w:bCs w:val="0"/>
                <w:color w:val="auto"/>
                <w:szCs w:val="21"/>
                <w:highlight w:val="none"/>
              </w:rPr>
            </w:pPr>
            <w:r>
              <w:rPr>
                <w:rFonts w:hint="default" w:ascii="宋体" w:hAnsi="宋体" w:cs="宋体"/>
                <w:b w:val="0"/>
                <w:bCs w:val="0"/>
                <w:color w:val="auto"/>
                <w:szCs w:val="21"/>
                <w:highlight w:val="none"/>
              </w:rPr>
              <w:t>拟安排本项目负责人</w:t>
            </w:r>
            <w:r>
              <w:rPr>
                <w:rFonts w:hint="eastAsia" w:ascii="宋体" w:hAnsi="宋体" w:cs="宋体"/>
                <w:b w:val="0"/>
                <w:bCs w:val="0"/>
                <w:color w:val="auto"/>
                <w:szCs w:val="21"/>
                <w:highlight w:val="none"/>
                <w:lang w:eastAsia="zh-CN"/>
              </w:rPr>
              <w:t>具有</w:t>
            </w:r>
            <w:r>
              <w:rPr>
                <w:rFonts w:hint="eastAsia" w:ascii="宋体" w:hAnsi="宋体" w:cs="宋体"/>
                <w:b w:val="0"/>
                <w:bCs w:val="0"/>
                <w:color w:val="auto"/>
                <w:szCs w:val="21"/>
                <w:highlight w:val="none"/>
                <w:lang w:val="en-US" w:eastAsia="zh-CN"/>
              </w:rPr>
              <w:t>信息系统集成PMP项目经理或</w:t>
            </w:r>
            <w:r>
              <w:rPr>
                <w:rFonts w:hint="eastAsia" w:asciiTheme="minorEastAsia" w:hAnsiTheme="minorEastAsia" w:eastAsiaTheme="minorEastAsia" w:cstheme="minorEastAsia"/>
                <w:i w:val="0"/>
                <w:caps w:val="0"/>
                <w:color w:val="auto"/>
                <w:spacing w:val="0"/>
                <w:sz w:val="21"/>
                <w:szCs w:val="21"/>
                <w:highlight w:val="none"/>
              </w:rPr>
              <w:t>信息系统项目管理师</w:t>
            </w:r>
            <w:r>
              <w:rPr>
                <w:rFonts w:hint="eastAsia" w:ascii="宋体" w:hAnsi="宋体" w:cs="宋体"/>
                <w:b w:val="0"/>
                <w:bCs w:val="0"/>
                <w:color w:val="auto"/>
                <w:szCs w:val="21"/>
                <w:highlight w:val="none"/>
                <w:lang w:val="en-US" w:eastAsia="zh-CN"/>
              </w:rPr>
              <w:t>证</w:t>
            </w:r>
            <w:r>
              <w:rPr>
                <w:rFonts w:hint="eastAsia" w:ascii="宋体" w:hAnsi="宋体" w:cs="宋体"/>
                <w:b w:val="0"/>
                <w:bCs w:val="0"/>
                <w:strike w:val="0"/>
                <w:dstrike w:val="0"/>
                <w:color w:val="auto"/>
                <w:szCs w:val="21"/>
                <w:highlight w:val="none"/>
                <w:lang w:val="en-US" w:eastAsia="zh-CN"/>
              </w:rPr>
              <w:t>书，得100%</w:t>
            </w:r>
            <w:r>
              <w:rPr>
                <w:rFonts w:hint="default" w:ascii="宋体" w:hAnsi="宋体" w:cs="宋体"/>
                <w:b w:val="0"/>
                <w:bCs w:val="0"/>
                <w:strike w:val="0"/>
                <w:dstrike w:val="0"/>
                <w:color w:val="auto"/>
                <w:szCs w:val="21"/>
                <w:highlight w:val="none"/>
              </w:rPr>
              <w:t xml:space="preserve">。 </w:t>
            </w:r>
          </w:p>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rPr>
                <w:rFonts w:hint="default" w:ascii="宋体" w:hAnsi="宋体" w:cs="宋体"/>
                <w:color w:val="auto"/>
                <w:szCs w:val="21"/>
                <w:highlight w:val="none"/>
              </w:rPr>
            </w:pPr>
            <w:r>
              <w:rPr>
                <w:rFonts w:hint="default" w:ascii="宋体" w:hAnsi="宋体" w:cs="宋体"/>
                <w:color w:val="auto"/>
                <w:szCs w:val="21"/>
                <w:highlight w:val="none"/>
              </w:rPr>
              <w:t>（1）要求提供投标单位为项目负责人缴纳的投标截止日前12个月的社保证明（如开标日当月及前3个月的社保资料因社保部门原因暂时无法取得，则缴纳社保的证明材料起始时间可以往前顺延）；</w:t>
            </w:r>
          </w:p>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rPr>
                <w:rFonts w:hint="default" w:ascii="宋体" w:hAnsi="宋体" w:cs="宋体"/>
                <w:color w:val="auto"/>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Cs w:val="21"/>
                <w:highlight w:val="none"/>
                <w:lang w:eastAsia="zh-CN"/>
              </w:rPr>
              <w:t>以上</w:t>
            </w:r>
            <w:r>
              <w:rPr>
                <w:rFonts w:hint="default" w:ascii="宋体" w:hAnsi="宋体" w:cs="宋体"/>
                <w:color w:val="auto"/>
                <w:szCs w:val="21"/>
                <w:highlight w:val="none"/>
              </w:rPr>
              <w:t xml:space="preserve">有效证书及证书官网或权威机构（如“中国社会组织公共服务平台”“中国国家认证认可监督管理委员会”等）等合法查询渠道的查询记录（原件备查），相关证书在公开渠道无法查询的，需提供颁发部门或者监管机构的证明材料，证明证书真实有效且为合法机构颁发； </w:t>
            </w:r>
          </w:p>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rPr>
                <w:rFonts w:hint="default" w:ascii="宋体" w:hAnsi="宋体" w:cs="宋体"/>
                <w:color w:val="auto"/>
                <w:szCs w:val="21"/>
                <w:highlight w:val="none"/>
              </w:rPr>
            </w:pPr>
            <w:r>
              <w:rPr>
                <w:rFonts w:hint="eastAsia" w:ascii="宋体" w:hAnsi="宋体" w:cs="宋体"/>
                <w:b/>
                <w:bCs/>
                <w:color w:val="auto"/>
                <w:szCs w:val="21"/>
                <w:highlight w:val="none"/>
                <w:lang w:eastAsia="zh-CN"/>
              </w:rPr>
              <w:t>备注：</w:t>
            </w:r>
            <w:r>
              <w:rPr>
                <w:rFonts w:hint="default" w:ascii="宋体" w:hAnsi="宋体" w:cs="宋体"/>
                <w:color w:val="auto"/>
                <w:szCs w:val="21"/>
                <w:highlight w:val="none"/>
              </w:rPr>
              <w:t>未提供相关证明材料或者提供的证明材料不符合要求的或提供的证明材料不清晰导致评审专家无法辨认的，不得分。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5" w:type="dxa"/>
            <w:vMerge w:val="continue"/>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center"/>
              <w:outlineLvl w:val="2"/>
              <w:rPr>
                <w:rFonts w:hint="default" w:ascii="宋体" w:hAnsi="宋体"/>
                <w:color w:val="auto"/>
                <w:szCs w:val="21"/>
                <w:highlight w:val="none"/>
              </w:rPr>
            </w:pPr>
          </w:p>
        </w:tc>
        <w:tc>
          <w:tcPr>
            <w:tcW w:w="731" w:type="dxa"/>
            <w:vAlign w:val="center"/>
          </w:tcPr>
          <w:p>
            <w:pPr>
              <w:keepNext w:val="0"/>
              <w:keepLines w:val="0"/>
              <w:pageBreakBefore w:val="0"/>
              <w:widowControl w:val="0"/>
              <w:numPr>
                <w:ilvl w:val="0"/>
                <w:numId w:val="2"/>
              </w:numPr>
              <w:suppressLineNumbers w:val="0"/>
              <w:kinsoku/>
              <w:wordWrap/>
              <w:overflowPunct/>
              <w:topLinePunct w:val="0"/>
              <w:bidi w:val="0"/>
              <w:snapToGrid/>
              <w:spacing w:before="0" w:beforeAutospacing="0" w:after="0" w:afterAutospacing="0" w:line="440" w:lineRule="exact"/>
              <w:ind w:left="425" w:leftChars="0" w:right="0" w:hanging="425" w:firstLineChars="0"/>
              <w:jc w:val="center"/>
              <w:rPr>
                <w:rFonts w:hint="default" w:ascii="宋体" w:hAnsi="宋体"/>
                <w:color w:val="auto"/>
                <w:szCs w:val="21"/>
                <w:highlight w:val="none"/>
              </w:rPr>
            </w:pPr>
          </w:p>
        </w:tc>
        <w:tc>
          <w:tcPr>
            <w:tcW w:w="1623" w:type="dxa"/>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center"/>
              <w:rPr>
                <w:rFonts w:hint="default" w:ascii="宋体" w:hAnsi="宋体"/>
                <w:color w:val="auto"/>
                <w:szCs w:val="21"/>
                <w:highlight w:val="none"/>
              </w:rPr>
            </w:pPr>
            <w:r>
              <w:rPr>
                <w:rFonts w:hint="default" w:ascii="宋体" w:hAnsi="宋体"/>
                <w:color w:val="auto"/>
                <w:szCs w:val="21"/>
                <w:highlight w:val="none"/>
              </w:rPr>
              <w:t>拟安排的项目团队成员情况（项目负责人除外）</w:t>
            </w:r>
          </w:p>
        </w:tc>
        <w:tc>
          <w:tcPr>
            <w:tcW w:w="925" w:type="dxa"/>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p>
        </w:tc>
        <w:tc>
          <w:tcPr>
            <w:tcW w:w="1235" w:type="dxa"/>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center"/>
              <w:rPr>
                <w:rFonts w:hint="default" w:ascii="宋体" w:hAnsi="宋体"/>
                <w:color w:val="auto"/>
                <w:szCs w:val="21"/>
                <w:highlight w:val="none"/>
              </w:rPr>
            </w:pPr>
            <w:r>
              <w:rPr>
                <w:rFonts w:hint="eastAsia" w:ascii="宋体" w:hAnsi="宋体"/>
                <w:color w:val="auto"/>
                <w:szCs w:val="21"/>
                <w:highlight w:val="none"/>
              </w:rPr>
              <w:t>评委评分</w:t>
            </w:r>
          </w:p>
        </w:tc>
        <w:tc>
          <w:tcPr>
            <w:tcW w:w="3790" w:type="dxa"/>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rPr>
                <w:rFonts w:hint="default" w:ascii="宋体" w:hAnsi="宋体"/>
                <w:color w:val="auto"/>
                <w:szCs w:val="21"/>
                <w:highlight w:val="none"/>
              </w:rPr>
            </w:pPr>
            <w:r>
              <w:rPr>
                <w:rFonts w:hint="default" w:ascii="宋体" w:hAnsi="宋体"/>
                <w:color w:val="auto"/>
                <w:szCs w:val="21"/>
                <w:highlight w:val="none"/>
              </w:rPr>
              <w:t>拟安排的项目团队成员须为投标人在职员工（以社保证明文件为准），不满足社保文件要求的，本项不得分。</w:t>
            </w:r>
          </w:p>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rPr>
                <w:rFonts w:hint="eastAsia" w:ascii="新宋体" w:hAnsi="新宋体" w:eastAsia="新宋体"/>
                <w:color w:val="auto"/>
                <w:szCs w:val="21"/>
                <w:highlight w:val="none"/>
                <w:lang w:val="en-US" w:eastAsia="zh-CN"/>
              </w:rPr>
            </w:pPr>
            <w:r>
              <w:rPr>
                <w:rFonts w:hint="eastAsia" w:ascii="新宋体" w:hAnsi="新宋体" w:eastAsia="新宋体"/>
                <w:color w:val="auto"/>
                <w:szCs w:val="21"/>
                <w:highlight w:val="none"/>
                <w:lang w:val="en-US" w:eastAsia="zh-CN"/>
              </w:rPr>
              <w:t>1.团队组成结构合理，分工明确，项目经理、实施团队等配备齐全，根据投标人提供的本项目服务团队的分工及简介，至少3人以上的团队：</w:t>
            </w:r>
          </w:p>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rPr>
                <w:rFonts w:hint="eastAsia" w:ascii="新宋体" w:hAnsi="新宋体" w:eastAsia="新宋体"/>
                <w:color w:val="auto"/>
                <w:szCs w:val="21"/>
                <w:highlight w:val="none"/>
                <w:lang w:val="en-US" w:eastAsia="zh-CN"/>
              </w:rPr>
            </w:pPr>
            <w:r>
              <w:rPr>
                <w:rFonts w:hint="eastAsia" w:ascii="新宋体" w:hAnsi="新宋体" w:eastAsia="新宋体"/>
                <w:color w:val="auto"/>
                <w:szCs w:val="21"/>
                <w:highlight w:val="none"/>
                <w:lang w:val="en-US" w:eastAsia="zh-CN"/>
              </w:rPr>
              <w:t>3人团队得15%； 5人及以上团队得30%，10人及以上团队得50%，其他不得分。</w:t>
            </w:r>
          </w:p>
          <w:p>
            <w:pPr>
              <w:keepNext w:val="0"/>
              <w:keepLines w:val="0"/>
              <w:pageBreakBefore w:val="0"/>
              <w:widowControl w:val="0"/>
              <w:numPr>
                <w:ilvl w:val="0"/>
                <w:numId w:val="5"/>
              </w:numPr>
              <w:suppressLineNumbers w:val="0"/>
              <w:kinsoku/>
              <w:wordWrap/>
              <w:overflowPunct/>
              <w:topLinePunct w:val="0"/>
              <w:bidi w:val="0"/>
              <w:snapToGrid/>
              <w:spacing w:before="0" w:beforeAutospacing="0" w:after="0" w:afterAutospacing="0" w:line="440" w:lineRule="exact"/>
              <w:ind w:left="0" w:right="0"/>
              <w:rPr>
                <w:rFonts w:hint="eastAsia" w:ascii="新宋体" w:hAnsi="新宋体" w:eastAsia="新宋体"/>
                <w:color w:val="auto"/>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团队成员为计算机专业、</w:t>
            </w:r>
            <w:r>
              <w:rPr>
                <w:rStyle w:val="7"/>
                <w:rFonts w:hint="eastAsia" w:asciiTheme="minorEastAsia" w:hAnsiTheme="minorEastAsia" w:eastAsiaTheme="minorEastAsia" w:cstheme="minorEastAsia"/>
                <w:i w:val="0"/>
                <w:caps w:val="0"/>
                <w:color w:val="auto"/>
                <w:spacing w:val="0"/>
                <w:sz w:val="21"/>
                <w:szCs w:val="21"/>
                <w:highlight w:val="none"/>
                <w:shd w:val="clear" w:fill="FFFFFF"/>
              </w:rPr>
              <w:t>全日制大专及以上学历</w:t>
            </w:r>
            <w:r>
              <w:rPr>
                <w:rStyle w:val="7"/>
                <w:rFonts w:hint="eastAsia" w:asciiTheme="minorEastAsia" w:hAnsiTheme="minorEastAsia" w:eastAsiaTheme="minorEastAsia" w:cstheme="minorEastAsia"/>
                <w:i w:val="0"/>
                <w:caps w:val="0"/>
                <w:color w:val="auto"/>
                <w:spacing w:val="0"/>
                <w:sz w:val="21"/>
                <w:szCs w:val="21"/>
                <w:highlight w:val="none"/>
                <w:shd w:val="clear" w:fill="FFFFFF"/>
                <w:lang w:eastAsia="zh-CN"/>
              </w:rPr>
              <w:t>，</w:t>
            </w:r>
            <w:r>
              <w:rPr>
                <w:rStyle w:val="7"/>
                <w:rFonts w:hint="eastAsia" w:asciiTheme="minorEastAsia" w:hAnsiTheme="minorEastAsia" w:eastAsiaTheme="minorEastAsia" w:cstheme="minorEastAsia"/>
                <w:i w:val="0"/>
                <w:caps w:val="0"/>
                <w:color w:val="auto"/>
                <w:spacing w:val="0"/>
                <w:sz w:val="21"/>
                <w:szCs w:val="21"/>
                <w:highlight w:val="none"/>
                <w:shd w:val="clear" w:fill="FFFFFF"/>
                <w:lang w:val="en-US" w:eastAsia="zh-CN"/>
              </w:rPr>
              <w:t>团队成员</w:t>
            </w:r>
            <w:r>
              <w:rPr>
                <w:rFonts w:hint="eastAsia" w:ascii="新宋体" w:hAnsi="新宋体" w:eastAsia="新宋体"/>
                <w:color w:val="auto"/>
                <w:szCs w:val="21"/>
                <w:highlight w:val="none"/>
                <w:lang w:val="en-US" w:eastAsia="zh-CN"/>
              </w:rPr>
              <w:t>每</w:t>
            </w:r>
            <w:r>
              <w:rPr>
                <w:rFonts w:hint="default" w:ascii="新宋体" w:hAnsi="新宋体" w:eastAsia="新宋体"/>
                <w:color w:val="auto"/>
                <w:szCs w:val="21"/>
                <w:highlight w:val="none"/>
              </w:rPr>
              <w:t>具有</w:t>
            </w:r>
            <w:r>
              <w:rPr>
                <w:rFonts w:hint="eastAsia" w:ascii="新宋体" w:hAnsi="新宋体" w:eastAsia="新宋体"/>
                <w:color w:val="auto"/>
                <w:szCs w:val="21"/>
                <w:highlight w:val="none"/>
                <w:lang w:eastAsia="zh-CN"/>
              </w:rPr>
              <w:t>以下证书中的任意一项得</w:t>
            </w:r>
            <w:r>
              <w:rPr>
                <w:rFonts w:hint="eastAsia" w:ascii="新宋体" w:hAnsi="新宋体" w:eastAsia="新宋体"/>
                <w:color w:val="auto"/>
                <w:szCs w:val="21"/>
                <w:highlight w:val="none"/>
                <w:lang w:val="en-US" w:eastAsia="zh-CN"/>
              </w:rPr>
              <w:t>10%，最高得50%，</w:t>
            </w:r>
            <w:r>
              <w:rPr>
                <w:rFonts w:hint="eastAsia" w:ascii="新宋体" w:hAnsi="新宋体" w:eastAsia="新宋体"/>
                <w:b/>
                <w:bCs/>
                <w:color w:val="auto"/>
                <w:szCs w:val="21"/>
                <w:highlight w:val="none"/>
                <w:lang w:val="en-US" w:eastAsia="zh-CN"/>
              </w:rPr>
              <w:t>同一人员具有多项证书可累计计分</w:t>
            </w:r>
            <w:r>
              <w:rPr>
                <w:rFonts w:hint="eastAsia" w:ascii="新宋体" w:hAnsi="新宋体" w:eastAsia="新宋体"/>
                <w:color w:val="auto"/>
                <w:szCs w:val="21"/>
                <w:highlight w:val="none"/>
                <w:lang w:val="en-US" w:eastAsia="zh-CN"/>
              </w:rPr>
              <w:t>；</w:t>
            </w:r>
          </w:p>
          <w:p>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440" w:lineRule="exact"/>
              <w:ind w:left="0" w:right="0" w:rightChars="0"/>
              <w:rPr>
                <w:rFonts w:hint="default" w:ascii="宋体" w:hAnsi="宋体"/>
                <w:color w:val="auto"/>
                <w:szCs w:val="21"/>
                <w:highlight w:val="none"/>
              </w:rPr>
            </w:pPr>
            <w:r>
              <w:rPr>
                <w:rFonts w:hint="eastAsia" w:ascii="新宋体" w:hAnsi="新宋体" w:eastAsia="新宋体"/>
                <w:color w:val="auto"/>
                <w:szCs w:val="21"/>
                <w:highlight w:val="none"/>
                <w:lang w:eastAsia="zh-CN"/>
              </w:rPr>
              <w:t>证书：</w:t>
            </w:r>
            <w:r>
              <w:rPr>
                <w:rFonts w:hint="eastAsia" w:ascii="新宋体" w:hAnsi="新宋体" w:eastAsia="新宋体"/>
                <w:color w:val="auto"/>
                <w:szCs w:val="21"/>
                <w:highlight w:val="none"/>
              </w:rPr>
              <w:t>国家人力资源和社会保障部及工业和信息化部颁发的中级或高级软考证书、数据库工程师认证证书、信息系统工程师认证证书、中间件运维工程师认证证书、</w:t>
            </w:r>
            <w:r>
              <w:rPr>
                <w:rFonts w:hint="default" w:ascii="新宋体" w:hAnsi="新宋体" w:eastAsia="新宋体"/>
                <w:color w:val="auto"/>
                <w:szCs w:val="21"/>
                <w:highlight w:val="none"/>
              </w:rPr>
              <w:t>Linux系统工程师认证证书”</w:t>
            </w:r>
            <w:r>
              <w:rPr>
                <w:rFonts w:hint="default" w:ascii="宋体" w:hAnsi="宋体"/>
                <w:color w:val="auto"/>
                <w:szCs w:val="21"/>
                <w:highlight w:val="none"/>
              </w:rPr>
              <w:t>。</w:t>
            </w:r>
          </w:p>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rPr>
                <w:rFonts w:hint="default" w:ascii="宋体" w:hAnsi="宋体"/>
                <w:b/>
                <w:bCs/>
                <w:color w:val="auto"/>
                <w:szCs w:val="21"/>
                <w:highlight w:val="none"/>
              </w:rPr>
            </w:pPr>
            <w:r>
              <w:rPr>
                <w:rFonts w:hint="default" w:ascii="宋体" w:hAnsi="宋体"/>
                <w:b/>
                <w:bCs/>
                <w:color w:val="auto"/>
                <w:szCs w:val="21"/>
                <w:highlight w:val="none"/>
              </w:rPr>
              <w:t>证明文件：</w:t>
            </w:r>
          </w:p>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rPr>
                <w:rFonts w:hint="eastAsia" w:ascii="宋体" w:hAnsi="宋体" w:eastAsia="宋体" w:cs="宋体"/>
                <w:color w:val="auto"/>
                <w:sz w:val="21"/>
                <w:szCs w:val="21"/>
                <w:highlight w:val="none"/>
              </w:rPr>
            </w:pPr>
            <w:r>
              <w:rPr>
                <w:rFonts w:hint="default" w:ascii="宋体" w:hAnsi="宋体"/>
                <w:color w:val="auto"/>
                <w:szCs w:val="21"/>
                <w:highlight w:val="none"/>
              </w:rPr>
              <w:t>（1）投标人为其缴纳的投标截止日前12个月的社保证明（如开标日当月及前3个月的社保资料因社保部门原因暂时无法取得，则缴纳社保的证明材料起始时间可以往前顺延）；</w:t>
            </w:r>
          </w:p>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rPr>
                <w:rFonts w:hint="default" w:ascii="宋体" w:hAnsi="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default" w:ascii="宋体" w:hAnsi="宋体" w:cs="宋体"/>
                <w:color w:val="auto"/>
                <w:szCs w:val="21"/>
                <w:highlight w:val="none"/>
              </w:rPr>
              <w:t xml:space="preserve">评审标准中对应的有效证书及证书官网或权威机构（如“中国社会组织公共服务平台”“中国国家认证认可监督管理委员会”等）等合法查询渠道的查询记录（原件备查），相关证书在公开渠道无法查询的，需提供颁发部门或者监管机构的证明材料，证明证书真实有效且为合法机构颁发； </w:t>
            </w:r>
            <w:r>
              <w:rPr>
                <w:rFonts w:hint="default" w:ascii="宋体" w:hAnsi="宋体"/>
                <w:color w:val="auto"/>
                <w:szCs w:val="21"/>
                <w:highlight w:val="none"/>
              </w:rPr>
              <w:t xml:space="preserve"> </w:t>
            </w:r>
          </w:p>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rPr>
                <w:rFonts w:hint="default" w:ascii="宋体" w:hAnsi="宋体"/>
                <w:color w:val="auto"/>
                <w:szCs w:val="21"/>
                <w:highlight w:val="none"/>
              </w:rPr>
            </w:pPr>
            <w:r>
              <w:rPr>
                <w:rFonts w:hint="eastAsia" w:ascii="宋体" w:hAnsi="宋体" w:cs="宋体"/>
                <w:b/>
                <w:bCs/>
                <w:color w:val="auto"/>
                <w:szCs w:val="21"/>
                <w:highlight w:val="none"/>
                <w:lang w:eastAsia="zh-CN"/>
              </w:rPr>
              <w:t>备注：</w:t>
            </w:r>
            <w:r>
              <w:rPr>
                <w:rFonts w:hint="default" w:ascii="宋体" w:hAnsi="宋体" w:cs="宋体"/>
                <w:color w:val="auto"/>
                <w:szCs w:val="21"/>
                <w:highlight w:val="none"/>
              </w:rPr>
              <w:t>未提供相关证明材料或者提供的证明材料不符合要求的或提供的证明材料不清晰导致评审专家无法辨认的，不得分。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5" w:type="dxa"/>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center"/>
              <w:rPr>
                <w:rFonts w:hint="default" w:ascii="宋体" w:hAnsi="宋体"/>
                <w:b/>
                <w:color w:val="auto"/>
                <w:szCs w:val="21"/>
                <w:highlight w:val="none"/>
              </w:rPr>
            </w:pPr>
            <w:r>
              <w:rPr>
                <w:rFonts w:hint="default" w:ascii="宋体" w:hAnsi="宋体"/>
                <w:b/>
                <w:color w:val="auto"/>
                <w:szCs w:val="21"/>
                <w:highlight w:val="none"/>
              </w:rPr>
              <w:t>3</w:t>
            </w:r>
          </w:p>
        </w:tc>
        <w:tc>
          <w:tcPr>
            <w:tcW w:w="4514" w:type="dxa"/>
            <w:gridSpan w:val="4"/>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center"/>
              <w:rPr>
                <w:rFonts w:hint="eastAsia" w:ascii="宋体" w:hAnsi="宋体" w:eastAsia="宋体"/>
                <w:b/>
                <w:color w:val="auto"/>
                <w:szCs w:val="21"/>
                <w:highlight w:val="none"/>
                <w:lang w:eastAsia="zh-CN"/>
              </w:rPr>
            </w:pPr>
            <w:r>
              <w:rPr>
                <w:rFonts w:hint="eastAsia" w:ascii="宋体" w:hAnsi="宋体"/>
                <w:b/>
                <w:color w:val="auto"/>
                <w:szCs w:val="21"/>
                <w:highlight w:val="none"/>
                <w:lang w:eastAsia="zh-CN"/>
              </w:rPr>
              <w:t>综合实力部分</w:t>
            </w:r>
          </w:p>
        </w:tc>
        <w:tc>
          <w:tcPr>
            <w:tcW w:w="3790" w:type="dxa"/>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center"/>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5" w:type="dxa"/>
            <w:vMerge w:val="restart"/>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center"/>
              <w:outlineLvl w:val="0"/>
              <w:rPr>
                <w:rFonts w:hint="default" w:ascii="宋体" w:hAnsi="宋体"/>
                <w:color w:val="auto"/>
                <w:szCs w:val="21"/>
                <w:highlight w:val="none"/>
              </w:rPr>
            </w:pPr>
          </w:p>
        </w:tc>
        <w:tc>
          <w:tcPr>
            <w:tcW w:w="731" w:type="dxa"/>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center"/>
              <w:rPr>
                <w:rFonts w:hint="default" w:ascii="宋体" w:hAnsi="宋体"/>
                <w:b/>
                <w:color w:val="auto"/>
                <w:szCs w:val="21"/>
                <w:highlight w:val="none"/>
              </w:rPr>
            </w:pPr>
            <w:r>
              <w:rPr>
                <w:rFonts w:hint="eastAsia" w:ascii="宋体" w:hAnsi="宋体"/>
                <w:b/>
                <w:color w:val="auto"/>
                <w:szCs w:val="21"/>
                <w:highlight w:val="none"/>
              </w:rPr>
              <w:t>序号</w:t>
            </w:r>
          </w:p>
        </w:tc>
        <w:tc>
          <w:tcPr>
            <w:tcW w:w="1623" w:type="dxa"/>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center"/>
              <w:rPr>
                <w:rFonts w:hint="default" w:ascii="宋体" w:hAnsi="宋体"/>
                <w:b/>
                <w:color w:val="auto"/>
                <w:szCs w:val="21"/>
                <w:highlight w:val="none"/>
              </w:rPr>
            </w:pPr>
            <w:r>
              <w:rPr>
                <w:rFonts w:hint="eastAsia" w:ascii="宋体" w:hAnsi="宋体"/>
                <w:b/>
                <w:color w:val="auto"/>
                <w:szCs w:val="21"/>
                <w:highlight w:val="none"/>
              </w:rPr>
              <w:t>评分因素</w:t>
            </w:r>
          </w:p>
        </w:tc>
        <w:tc>
          <w:tcPr>
            <w:tcW w:w="925" w:type="dxa"/>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center"/>
              <w:rPr>
                <w:rFonts w:hint="default" w:ascii="宋体" w:hAnsi="宋体"/>
                <w:b/>
                <w:color w:val="auto"/>
                <w:szCs w:val="21"/>
                <w:highlight w:val="none"/>
              </w:rPr>
            </w:pPr>
            <w:r>
              <w:rPr>
                <w:rFonts w:hint="eastAsia" w:ascii="宋体" w:hAnsi="宋体"/>
                <w:b/>
                <w:color w:val="auto"/>
                <w:szCs w:val="21"/>
                <w:highlight w:val="none"/>
              </w:rPr>
              <w:t>权重</w:t>
            </w:r>
          </w:p>
        </w:tc>
        <w:tc>
          <w:tcPr>
            <w:tcW w:w="1235" w:type="dxa"/>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center"/>
              <w:rPr>
                <w:rFonts w:hint="default" w:ascii="宋体" w:hAnsi="宋体"/>
                <w:b/>
                <w:color w:val="auto"/>
                <w:szCs w:val="21"/>
                <w:highlight w:val="none"/>
              </w:rPr>
            </w:pPr>
            <w:r>
              <w:rPr>
                <w:rFonts w:hint="eastAsia" w:ascii="宋体" w:hAnsi="宋体"/>
                <w:b/>
                <w:color w:val="auto"/>
                <w:szCs w:val="21"/>
                <w:highlight w:val="none"/>
              </w:rPr>
              <w:t>评分方式</w:t>
            </w:r>
          </w:p>
        </w:tc>
        <w:tc>
          <w:tcPr>
            <w:tcW w:w="3790" w:type="dxa"/>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center"/>
              <w:rPr>
                <w:rFonts w:hint="default" w:ascii="宋体" w:hAnsi="宋体"/>
                <w:b/>
                <w:color w:val="auto"/>
                <w:szCs w:val="21"/>
                <w:highlight w:val="none"/>
              </w:rPr>
            </w:pPr>
            <w:r>
              <w:rPr>
                <w:rFonts w:hint="eastAsia" w:ascii="宋体" w:hAnsi="宋体"/>
                <w:b/>
                <w:color w:val="auto"/>
                <w:szCs w:val="21"/>
                <w:highlight w:val="none"/>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5" w:type="dxa"/>
            <w:vMerge w:val="continue"/>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center"/>
              <w:outlineLvl w:val="0"/>
              <w:rPr>
                <w:rFonts w:hint="default" w:ascii="宋体" w:hAnsi="宋体"/>
                <w:color w:val="auto"/>
                <w:szCs w:val="21"/>
                <w:highlight w:val="none"/>
              </w:rPr>
            </w:pPr>
          </w:p>
        </w:tc>
        <w:tc>
          <w:tcPr>
            <w:tcW w:w="731" w:type="dxa"/>
            <w:vAlign w:val="center"/>
          </w:tcPr>
          <w:p>
            <w:pPr>
              <w:keepNext w:val="0"/>
              <w:keepLines w:val="0"/>
              <w:pageBreakBefore w:val="0"/>
              <w:widowControl w:val="0"/>
              <w:numPr>
                <w:ilvl w:val="0"/>
                <w:numId w:val="6"/>
              </w:numPr>
              <w:suppressLineNumbers w:val="0"/>
              <w:kinsoku/>
              <w:wordWrap/>
              <w:overflowPunct/>
              <w:topLinePunct w:val="0"/>
              <w:bidi w:val="0"/>
              <w:snapToGrid/>
              <w:spacing w:before="0" w:beforeAutospacing="0" w:after="0" w:afterAutospacing="0" w:line="440" w:lineRule="exact"/>
              <w:ind w:left="425" w:leftChars="0" w:right="0" w:hanging="425" w:firstLineChars="0"/>
              <w:jc w:val="center"/>
              <w:rPr>
                <w:rFonts w:hint="default" w:ascii="宋体" w:hAnsi="宋体"/>
                <w:color w:val="auto"/>
                <w:szCs w:val="21"/>
                <w:highlight w:val="none"/>
              </w:rPr>
            </w:pPr>
          </w:p>
        </w:tc>
        <w:tc>
          <w:tcPr>
            <w:tcW w:w="1623" w:type="dxa"/>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center"/>
              <w:rPr>
                <w:rFonts w:hint="default" w:ascii="宋体" w:hAnsi="宋体"/>
                <w:color w:val="auto"/>
                <w:szCs w:val="21"/>
                <w:highlight w:val="none"/>
              </w:rPr>
            </w:pPr>
            <w:r>
              <w:rPr>
                <w:rFonts w:hint="default" w:ascii="宋体" w:hAnsi="宋体"/>
                <w:color w:val="auto"/>
                <w:szCs w:val="21"/>
                <w:highlight w:val="none"/>
              </w:rPr>
              <w:t>投标人同类项目业绩情况</w:t>
            </w:r>
          </w:p>
        </w:tc>
        <w:tc>
          <w:tcPr>
            <w:tcW w:w="925" w:type="dxa"/>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12</w:t>
            </w:r>
          </w:p>
        </w:tc>
        <w:tc>
          <w:tcPr>
            <w:tcW w:w="1235" w:type="dxa"/>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center"/>
              <w:rPr>
                <w:rFonts w:hint="default" w:ascii="宋体" w:hAnsi="宋体"/>
                <w:color w:val="auto"/>
                <w:szCs w:val="21"/>
                <w:highlight w:val="none"/>
              </w:rPr>
            </w:pPr>
            <w:r>
              <w:rPr>
                <w:rFonts w:hint="eastAsia" w:ascii="宋体" w:hAnsi="宋体"/>
                <w:color w:val="auto"/>
                <w:szCs w:val="21"/>
                <w:highlight w:val="none"/>
              </w:rPr>
              <w:t>评委评分</w:t>
            </w:r>
          </w:p>
        </w:tc>
        <w:tc>
          <w:tcPr>
            <w:tcW w:w="3790" w:type="dxa"/>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rPr>
                <w:rFonts w:hint="default" w:ascii="宋体" w:hAnsi="宋体"/>
                <w:color w:val="auto"/>
                <w:szCs w:val="21"/>
                <w:highlight w:val="none"/>
              </w:rPr>
            </w:pPr>
            <w:r>
              <w:rPr>
                <w:rFonts w:hint="default" w:ascii="宋体" w:hAnsi="宋体"/>
                <w:color w:val="auto"/>
                <w:szCs w:val="21"/>
                <w:highlight w:val="none"/>
              </w:rPr>
              <w:t>考察投标人近三年(自20</w:t>
            </w:r>
            <w:r>
              <w:rPr>
                <w:rFonts w:hint="eastAsia" w:ascii="宋体" w:hAnsi="宋体"/>
                <w:color w:val="auto"/>
                <w:szCs w:val="21"/>
                <w:highlight w:val="none"/>
                <w:lang w:val="en-US" w:eastAsia="zh-CN"/>
              </w:rPr>
              <w:t>18</w:t>
            </w:r>
            <w:r>
              <w:rPr>
                <w:rFonts w:hint="default" w:ascii="宋体" w:hAnsi="宋体"/>
                <w:color w:val="auto"/>
                <w:szCs w:val="21"/>
                <w:highlight w:val="none"/>
              </w:rPr>
              <w:t>年1</w:t>
            </w:r>
            <w:r>
              <w:rPr>
                <w:rFonts w:hint="eastAsia" w:ascii="宋体" w:hAnsi="宋体"/>
                <w:color w:val="auto"/>
                <w:szCs w:val="21"/>
                <w:highlight w:val="none"/>
                <w:lang w:val="en-US" w:eastAsia="zh-CN"/>
              </w:rPr>
              <w:t>1</w:t>
            </w:r>
            <w:r>
              <w:rPr>
                <w:rFonts w:hint="default" w:ascii="宋体" w:hAnsi="宋体"/>
                <w:color w:val="auto"/>
                <w:szCs w:val="21"/>
                <w:highlight w:val="none"/>
              </w:rPr>
              <w:t xml:space="preserve">月1日起至本项目投标截止日，以项目验收或履约评价时间为准）(已完成，且履约评价合格或者验收合格)，在此基础上： </w:t>
            </w:r>
          </w:p>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rPr>
                <w:rFonts w:hint="default" w:ascii="宋体" w:hAnsi="宋体"/>
                <w:color w:val="auto"/>
                <w:szCs w:val="21"/>
                <w:highlight w:val="none"/>
              </w:rPr>
            </w:pPr>
            <w:r>
              <w:rPr>
                <w:rFonts w:hint="default" w:ascii="宋体" w:hAnsi="宋体"/>
                <w:color w:val="auto"/>
                <w:szCs w:val="21"/>
                <w:highlight w:val="none"/>
              </w:rPr>
              <w:t>每提供一个信息化运维项目案例，得</w:t>
            </w:r>
            <w:r>
              <w:rPr>
                <w:rFonts w:hint="eastAsia" w:ascii="宋体" w:hAnsi="宋体"/>
                <w:color w:val="auto"/>
                <w:szCs w:val="21"/>
                <w:highlight w:val="none"/>
                <w:lang w:val="en-US" w:eastAsia="zh-CN"/>
              </w:rPr>
              <w:t>2</w:t>
            </w:r>
            <w:r>
              <w:rPr>
                <w:rFonts w:hint="default" w:ascii="宋体" w:hAnsi="宋体"/>
                <w:color w:val="auto"/>
                <w:szCs w:val="21"/>
                <w:highlight w:val="none"/>
              </w:rPr>
              <w:t>0</w:t>
            </w:r>
            <w:r>
              <w:rPr>
                <w:rFonts w:hint="eastAsia" w:ascii="宋体" w:hAnsi="宋体"/>
                <w:color w:val="auto"/>
                <w:szCs w:val="21"/>
                <w:highlight w:val="none"/>
                <w:lang w:val="en-US" w:eastAsia="zh-CN"/>
              </w:rPr>
              <w:t>%</w:t>
            </w:r>
            <w:r>
              <w:rPr>
                <w:rFonts w:hint="default" w:ascii="宋体" w:hAnsi="宋体"/>
                <w:color w:val="auto"/>
                <w:szCs w:val="21"/>
                <w:highlight w:val="none"/>
              </w:rPr>
              <w:t>，满分</w:t>
            </w:r>
            <w:r>
              <w:rPr>
                <w:rFonts w:hint="eastAsia" w:ascii="宋体" w:hAnsi="宋体"/>
                <w:color w:val="auto"/>
                <w:szCs w:val="21"/>
                <w:highlight w:val="none"/>
                <w:lang w:val="en-US" w:eastAsia="zh-CN"/>
              </w:rPr>
              <w:t>10</w:t>
            </w:r>
            <w:r>
              <w:rPr>
                <w:rFonts w:hint="default" w:ascii="宋体" w:hAnsi="宋体"/>
                <w:color w:val="auto"/>
                <w:szCs w:val="21"/>
                <w:highlight w:val="none"/>
              </w:rPr>
              <w:t>0</w:t>
            </w:r>
            <w:r>
              <w:rPr>
                <w:rFonts w:hint="eastAsia" w:ascii="宋体" w:hAnsi="宋体"/>
                <w:color w:val="auto"/>
                <w:szCs w:val="21"/>
                <w:highlight w:val="none"/>
                <w:lang w:val="en-US" w:eastAsia="zh-CN"/>
              </w:rPr>
              <w:t>%</w:t>
            </w:r>
            <w:r>
              <w:rPr>
                <w:rFonts w:hint="default" w:ascii="宋体" w:hAnsi="宋体"/>
                <w:color w:val="auto"/>
                <w:szCs w:val="21"/>
                <w:highlight w:val="none"/>
              </w:rPr>
              <w:t xml:space="preserve">。 </w:t>
            </w:r>
          </w:p>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rPr>
                <w:rFonts w:hint="default" w:ascii="宋体" w:hAnsi="宋体"/>
                <w:b/>
                <w:bCs/>
                <w:color w:val="auto"/>
                <w:szCs w:val="21"/>
                <w:highlight w:val="none"/>
              </w:rPr>
            </w:pPr>
            <w:r>
              <w:rPr>
                <w:rFonts w:hint="eastAsia" w:ascii="宋体" w:hAnsi="宋体"/>
                <w:b/>
                <w:bCs/>
                <w:color w:val="auto"/>
                <w:szCs w:val="21"/>
                <w:highlight w:val="none"/>
                <w:lang w:eastAsia="zh-CN"/>
              </w:rPr>
              <w:t>证明文件</w:t>
            </w:r>
            <w:r>
              <w:rPr>
                <w:rFonts w:hint="default" w:ascii="宋体" w:hAnsi="宋体"/>
                <w:b/>
                <w:bCs/>
                <w:color w:val="auto"/>
                <w:szCs w:val="21"/>
                <w:highlight w:val="none"/>
              </w:rPr>
              <w:t xml:space="preserve">： </w:t>
            </w:r>
          </w:p>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rPr>
                <w:rFonts w:hint="default" w:ascii="宋体" w:hAnsi="宋体"/>
                <w:color w:val="auto"/>
                <w:szCs w:val="21"/>
                <w:highlight w:val="none"/>
              </w:rPr>
            </w:pPr>
            <w:r>
              <w:rPr>
                <w:rFonts w:hint="default" w:ascii="宋体" w:hAnsi="宋体"/>
                <w:color w:val="auto"/>
                <w:szCs w:val="21"/>
                <w:highlight w:val="none"/>
              </w:rPr>
              <w:t xml:space="preserve">1.要求同时提供合同关键信息、验收报告或项目履约（验收）合格评价证明文件作为得分依据，项目履约（验收）合格评价证明文件需加盖合同甲方公章（或甲方业务章）。 </w:t>
            </w:r>
          </w:p>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rPr>
                <w:rFonts w:hint="default" w:ascii="宋体" w:hAnsi="宋体"/>
                <w:color w:val="auto"/>
                <w:szCs w:val="21"/>
                <w:highlight w:val="none"/>
              </w:rPr>
            </w:pPr>
            <w:r>
              <w:rPr>
                <w:rFonts w:hint="default" w:ascii="宋体" w:hAnsi="宋体"/>
                <w:color w:val="auto"/>
                <w:szCs w:val="21"/>
                <w:highlight w:val="none"/>
              </w:rPr>
              <w:t xml:space="preserve">2.通过合同关键信息无法判断是否得分的，还须同时提供能证明得分的其它证明资料，如项目报告或合同甲方出具的证明文件等。 </w:t>
            </w:r>
          </w:p>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rPr>
                <w:rFonts w:hint="default" w:ascii="宋体" w:hAnsi="宋体"/>
                <w:color w:val="auto"/>
                <w:szCs w:val="21"/>
                <w:highlight w:val="none"/>
              </w:rPr>
            </w:pPr>
            <w:r>
              <w:rPr>
                <w:rFonts w:hint="default" w:ascii="宋体" w:hAnsi="宋体"/>
                <w:color w:val="auto"/>
                <w:szCs w:val="21"/>
                <w:highlight w:val="none"/>
              </w:rPr>
              <w:t>3.以上资料均要求提供扫描件，原件备查。评分中出现无证明资料或专家无法凭所提供资料判断是否得分的情况，一律作不得分处理。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5" w:type="dxa"/>
            <w:vMerge w:val="continue"/>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center"/>
              <w:outlineLvl w:val="2"/>
              <w:rPr>
                <w:rFonts w:hint="default" w:ascii="宋体" w:hAnsi="宋体"/>
                <w:color w:val="auto"/>
                <w:szCs w:val="21"/>
                <w:highlight w:val="none"/>
              </w:rPr>
            </w:pPr>
          </w:p>
        </w:tc>
        <w:tc>
          <w:tcPr>
            <w:tcW w:w="731" w:type="dxa"/>
            <w:vAlign w:val="center"/>
          </w:tcPr>
          <w:p>
            <w:pPr>
              <w:keepNext w:val="0"/>
              <w:keepLines w:val="0"/>
              <w:pageBreakBefore w:val="0"/>
              <w:widowControl w:val="0"/>
              <w:numPr>
                <w:ilvl w:val="0"/>
                <w:numId w:val="6"/>
              </w:numPr>
              <w:suppressLineNumbers w:val="0"/>
              <w:kinsoku/>
              <w:wordWrap/>
              <w:overflowPunct/>
              <w:topLinePunct w:val="0"/>
              <w:bidi w:val="0"/>
              <w:snapToGrid/>
              <w:spacing w:before="0" w:beforeAutospacing="0" w:after="0" w:afterAutospacing="0" w:line="440" w:lineRule="exact"/>
              <w:ind w:left="425" w:leftChars="0" w:right="0" w:hanging="425" w:firstLineChars="0"/>
              <w:jc w:val="center"/>
              <w:rPr>
                <w:rFonts w:hint="default" w:ascii="宋体" w:hAnsi="宋体"/>
                <w:color w:val="auto"/>
                <w:szCs w:val="21"/>
                <w:highlight w:val="none"/>
              </w:rPr>
            </w:pPr>
          </w:p>
        </w:tc>
        <w:tc>
          <w:tcPr>
            <w:tcW w:w="1623" w:type="dxa"/>
            <w:vAlign w:val="center"/>
          </w:tcPr>
          <w:p>
            <w:pPr>
              <w:keepNext w:val="0"/>
              <w:keepLines w:val="0"/>
              <w:suppressLineNumbers w:val="0"/>
              <w:spacing w:before="0" w:beforeAutospacing="0" w:after="0" w:afterAutospacing="0" w:line="420" w:lineRule="exact"/>
              <w:ind w:left="0" w:right="0"/>
              <w:jc w:val="center"/>
              <w:rPr>
                <w:rFonts w:hint="eastAsia" w:ascii="宋体" w:hAnsi="宋体"/>
                <w:color w:val="auto"/>
                <w:szCs w:val="21"/>
                <w:highlight w:val="none"/>
              </w:rPr>
            </w:pPr>
            <w:r>
              <w:rPr>
                <w:rFonts w:hint="eastAsia" w:ascii="宋体" w:hAnsi="宋体"/>
                <w:color w:val="auto"/>
                <w:szCs w:val="21"/>
                <w:highlight w:val="none"/>
              </w:rPr>
              <w:t>投标人资质证书情况</w:t>
            </w:r>
          </w:p>
        </w:tc>
        <w:tc>
          <w:tcPr>
            <w:tcW w:w="925" w:type="dxa"/>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6</w:t>
            </w:r>
          </w:p>
        </w:tc>
        <w:tc>
          <w:tcPr>
            <w:tcW w:w="1235" w:type="dxa"/>
            <w:vAlign w:val="center"/>
          </w:tcPr>
          <w:p>
            <w:pPr>
              <w:keepNext w:val="0"/>
              <w:keepLines w:val="0"/>
              <w:suppressLineNumbers w:val="0"/>
              <w:spacing w:before="0" w:beforeAutospacing="0" w:after="0" w:afterAutospacing="0" w:line="440" w:lineRule="exact"/>
              <w:ind w:left="0" w:right="0"/>
              <w:jc w:val="center"/>
              <w:rPr>
                <w:rFonts w:hint="eastAsia" w:ascii="宋体" w:hAnsi="宋体"/>
                <w:color w:val="auto"/>
                <w:szCs w:val="21"/>
                <w:highlight w:val="none"/>
              </w:rPr>
            </w:pPr>
            <w:r>
              <w:rPr>
                <w:rFonts w:hint="eastAsia" w:ascii="宋体" w:hAnsi="宋体"/>
                <w:color w:val="auto"/>
                <w:szCs w:val="21"/>
                <w:highlight w:val="none"/>
              </w:rPr>
              <w:t>评委评分</w:t>
            </w:r>
          </w:p>
        </w:tc>
        <w:tc>
          <w:tcPr>
            <w:tcW w:w="3790" w:type="dxa"/>
            <w:vAlign w:val="top"/>
          </w:tcPr>
          <w:p>
            <w:pPr>
              <w:keepNext w:val="0"/>
              <w:keepLines w:val="0"/>
              <w:suppressLineNumbers w:val="0"/>
              <w:spacing w:before="0" w:beforeAutospacing="0" w:after="0" w:afterAutospacing="0"/>
              <w:ind w:left="0" w:right="0"/>
              <w:jc w:val="left"/>
              <w:rPr>
                <w:rFonts w:hint="eastAsia" w:ascii="宋体" w:hAnsi="宋体" w:cs="宋体"/>
                <w:color w:val="auto"/>
                <w:szCs w:val="21"/>
                <w:highlight w:val="none"/>
              </w:rPr>
            </w:pPr>
            <w:r>
              <w:rPr>
                <w:rFonts w:hint="eastAsia" w:ascii="宋体" w:hAnsi="宋体" w:cs="宋体"/>
                <w:color w:val="auto"/>
                <w:szCs w:val="21"/>
                <w:highlight w:val="none"/>
              </w:rPr>
              <w:t xml:space="preserve">1. 投标人具有中国网络安全审查技术与认证中心颁发的信息系统安全运维服务资质证书； </w:t>
            </w:r>
          </w:p>
          <w:p>
            <w:pPr>
              <w:keepNext w:val="0"/>
              <w:keepLines w:val="0"/>
              <w:suppressLineNumbers w:val="0"/>
              <w:spacing w:before="0" w:beforeAutospacing="0" w:after="0" w:afterAutospacing="0"/>
              <w:ind w:left="0" w:right="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 投标人具有中国网络安全审查技术与认证中心心颁发的信息安全风险评估服务资质证书； </w:t>
            </w:r>
          </w:p>
          <w:p>
            <w:pPr>
              <w:keepNext w:val="0"/>
              <w:keepLines w:val="0"/>
              <w:suppressLineNumbers w:val="0"/>
              <w:spacing w:before="0" w:beforeAutospacing="0" w:after="0" w:afterAutospacing="0"/>
              <w:ind w:left="0" w:right="0"/>
              <w:jc w:val="left"/>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 投标人具有</w:t>
            </w:r>
            <w:r>
              <w:rPr>
                <w:rFonts w:hint="eastAsia" w:ascii="宋体" w:hAnsi="宋体" w:eastAsia="宋体" w:cs="宋体"/>
                <w:color w:val="auto"/>
                <w:kern w:val="2"/>
                <w:sz w:val="21"/>
                <w:szCs w:val="21"/>
                <w:highlight w:val="none"/>
                <w:lang w:val="en-US" w:eastAsia="zh-CN" w:bidi="ar-SA"/>
              </w:rPr>
              <w:t>有效期内的</w:t>
            </w:r>
            <w:r>
              <w:rPr>
                <w:rFonts w:hint="eastAsia" w:ascii="宋体" w:hAnsi="宋体" w:cs="宋体"/>
                <w:color w:val="auto"/>
                <w:szCs w:val="21"/>
                <w:highlight w:val="none"/>
              </w:rPr>
              <w:t>质量管理体系认证证书</w:t>
            </w:r>
            <w:r>
              <w:rPr>
                <w:rFonts w:hint="eastAsia" w:ascii="宋体" w:hAnsi="宋体" w:cs="宋体"/>
                <w:color w:val="auto"/>
                <w:szCs w:val="21"/>
                <w:highlight w:val="none"/>
                <w:lang w:eastAsia="zh-CN"/>
              </w:rPr>
              <w:t>；</w:t>
            </w:r>
          </w:p>
          <w:p>
            <w:pPr>
              <w:pStyle w:val="2"/>
              <w:keepNext w:val="0"/>
              <w:keepLines w:val="0"/>
              <w:suppressLineNumbers w:val="0"/>
              <w:spacing w:before="0" w:beforeAutospacing="0" w:after="0" w:afterAutospacing="0"/>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4.投标人具有有效期内的信息安全管理体系认证证书；</w:t>
            </w:r>
          </w:p>
          <w:p>
            <w:pPr>
              <w:pStyle w:val="2"/>
              <w:keepNext w:val="0"/>
              <w:keepLines w:val="0"/>
              <w:suppressLineNumbers w:val="0"/>
              <w:spacing w:before="0" w:beforeAutospacing="0" w:after="0" w:afterAutospacing="0"/>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5.投标人具有有效期内的信息技术服务管理体系认证证书；</w:t>
            </w:r>
          </w:p>
          <w:p>
            <w:pPr>
              <w:keepNext w:val="0"/>
              <w:keepLines w:val="0"/>
              <w:suppressLineNumbers w:val="0"/>
              <w:spacing w:before="0" w:beforeAutospacing="0" w:after="0" w:afterAutospacing="0"/>
              <w:ind w:left="0" w:right="0"/>
              <w:rPr>
                <w:rFonts w:hint="eastAsia"/>
                <w:color w:val="auto"/>
                <w:szCs w:val="20"/>
                <w:highlight w:val="none"/>
                <w:lang w:val="en-US" w:eastAsia="zh-CN"/>
              </w:rPr>
            </w:pPr>
            <w:r>
              <w:rPr>
                <w:rFonts w:hint="eastAsia" w:ascii="新宋体" w:hAnsi="新宋体" w:eastAsia="新宋体"/>
                <w:color w:val="auto"/>
                <w:szCs w:val="21"/>
                <w:highlight w:val="none"/>
                <w:lang w:val="en-US" w:eastAsia="zh-CN"/>
              </w:rPr>
              <w:t>6.投标人</w:t>
            </w:r>
            <w:r>
              <w:rPr>
                <w:rFonts w:hint="eastAsia" w:ascii="新宋体" w:hAnsi="新宋体" w:eastAsia="新宋体"/>
                <w:color w:val="auto"/>
                <w:szCs w:val="21"/>
                <w:highlight w:val="none"/>
              </w:rPr>
              <w:t>具有五星级售后服务评价体系认证证书</w:t>
            </w:r>
            <w:r>
              <w:rPr>
                <w:rFonts w:hint="eastAsia" w:ascii="新宋体" w:hAnsi="新宋体" w:eastAsia="新宋体"/>
                <w:color w:val="auto"/>
                <w:szCs w:val="21"/>
                <w:highlight w:val="none"/>
                <w:lang w:eastAsia="zh-CN"/>
              </w:rPr>
              <w:t>；</w:t>
            </w:r>
          </w:p>
          <w:p>
            <w:pPr>
              <w:keepNext w:val="0"/>
              <w:keepLines w:val="0"/>
              <w:suppressLineNumbers w:val="0"/>
              <w:spacing w:before="0" w:beforeAutospacing="0" w:after="0" w:afterAutospacing="0"/>
              <w:ind w:left="0" w:right="0"/>
              <w:jc w:val="left"/>
              <w:rPr>
                <w:rFonts w:hint="eastAsia" w:ascii="宋体" w:hAnsi="宋体" w:cs="宋体"/>
                <w:color w:val="auto"/>
                <w:szCs w:val="21"/>
                <w:highlight w:val="none"/>
              </w:rPr>
            </w:pPr>
            <w:r>
              <w:rPr>
                <w:rFonts w:hint="eastAsia" w:ascii="宋体" w:hAnsi="宋体" w:cs="宋体"/>
                <w:color w:val="auto"/>
                <w:szCs w:val="21"/>
                <w:highlight w:val="none"/>
              </w:rPr>
              <w:t>以上资质证书每提供</w:t>
            </w:r>
            <w:r>
              <w:rPr>
                <w:rFonts w:hint="eastAsia" w:ascii="宋体" w:hAnsi="宋体" w:cs="宋体"/>
                <w:color w:val="auto"/>
                <w:szCs w:val="21"/>
                <w:highlight w:val="none"/>
                <w:lang w:eastAsia="zh-CN"/>
              </w:rPr>
              <w:t>任意</w:t>
            </w:r>
            <w:r>
              <w:rPr>
                <w:rFonts w:hint="eastAsia" w:ascii="宋体" w:hAnsi="宋体" w:cs="宋体"/>
                <w:color w:val="auto"/>
                <w:szCs w:val="21"/>
                <w:highlight w:val="none"/>
              </w:rPr>
              <w:t>1</w:t>
            </w:r>
            <w:r>
              <w:rPr>
                <w:rFonts w:hint="eastAsia" w:ascii="宋体" w:hAnsi="宋体" w:cs="宋体"/>
                <w:color w:val="auto"/>
                <w:szCs w:val="21"/>
                <w:highlight w:val="none"/>
                <w:lang w:eastAsia="zh-CN"/>
              </w:rPr>
              <w:t>项</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w:t>
            </w:r>
            <w:r>
              <w:rPr>
                <w:rFonts w:hint="eastAsia" w:ascii="宋体" w:hAnsi="宋体" w:cs="宋体"/>
                <w:color w:val="auto"/>
                <w:szCs w:val="21"/>
                <w:highlight w:val="none"/>
                <w:lang w:eastAsia="zh-CN"/>
              </w:rPr>
              <w:t>本项</w:t>
            </w:r>
            <w:r>
              <w:rPr>
                <w:rFonts w:hint="eastAsia" w:ascii="宋体" w:hAnsi="宋体" w:cs="宋体"/>
                <w:color w:val="auto"/>
                <w:szCs w:val="21"/>
                <w:highlight w:val="none"/>
              </w:rPr>
              <w:t>最高得100</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 xml:space="preserve">。 </w:t>
            </w:r>
          </w:p>
          <w:p>
            <w:pPr>
              <w:keepNext w:val="0"/>
              <w:keepLines w:val="0"/>
              <w:suppressLineNumbers w:val="0"/>
              <w:spacing w:before="0" w:beforeAutospacing="0" w:after="0" w:afterAutospacing="0"/>
              <w:ind w:left="0" w:right="0"/>
              <w:jc w:val="left"/>
              <w:rPr>
                <w:rFonts w:hint="eastAsia" w:ascii="宋体" w:hAnsi="宋体" w:cs="宋体"/>
                <w:color w:val="auto"/>
                <w:szCs w:val="21"/>
                <w:highlight w:val="none"/>
              </w:rPr>
            </w:pPr>
            <w:r>
              <w:rPr>
                <w:rFonts w:hint="eastAsia" w:ascii="宋体" w:hAnsi="宋体" w:cs="宋体"/>
                <w:b/>
                <w:bCs/>
                <w:color w:val="auto"/>
                <w:szCs w:val="21"/>
                <w:highlight w:val="none"/>
                <w:lang w:eastAsia="zh-CN"/>
              </w:rPr>
              <w:t>证明文件</w:t>
            </w:r>
            <w:r>
              <w:rPr>
                <w:rFonts w:hint="eastAsia" w:ascii="宋体" w:hAnsi="宋体" w:cs="宋体"/>
                <w:b/>
                <w:bCs/>
                <w:color w:val="auto"/>
                <w:szCs w:val="21"/>
                <w:highlight w:val="none"/>
              </w:rPr>
              <w:t>：</w:t>
            </w:r>
            <w:r>
              <w:rPr>
                <w:rFonts w:hint="eastAsia" w:ascii="宋体" w:hAnsi="宋体" w:cs="宋体"/>
                <w:color w:val="auto"/>
                <w:szCs w:val="21"/>
                <w:highlight w:val="none"/>
              </w:rPr>
              <w:t xml:space="preserve"> </w:t>
            </w:r>
          </w:p>
          <w:p>
            <w:pPr>
              <w:keepNext w:val="0"/>
              <w:keepLines w:val="0"/>
              <w:suppressLineNumbers w:val="0"/>
              <w:spacing w:before="0" w:beforeAutospacing="0" w:after="0" w:afterAutospacing="0"/>
              <w:ind w:left="0" w:right="0"/>
              <w:jc w:val="left"/>
              <w:rPr>
                <w:rFonts w:hint="eastAsia" w:ascii="宋体" w:hAnsi="宋体" w:cs="宋体"/>
                <w:color w:val="auto"/>
                <w:szCs w:val="21"/>
                <w:highlight w:val="none"/>
              </w:rPr>
            </w:pPr>
            <w:r>
              <w:rPr>
                <w:rFonts w:hint="eastAsia" w:ascii="宋体" w:hAnsi="宋体" w:cs="宋体"/>
                <w:color w:val="auto"/>
                <w:szCs w:val="21"/>
                <w:highlight w:val="none"/>
              </w:rPr>
              <w:t xml:space="preserve">1.要求提供有效的认证证书作为得分依据。 </w:t>
            </w:r>
          </w:p>
          <w:p>
            <w:pPr>
              <w:keepNext w:val="0"/>
              <w:keepLines w:val="0"/>
              <w:suppressLineNumbers w:val="0"/>
              <w:spacing w:before="0" w:beforeAutospacing="0" w:after="0" w:afterAutospacing="0"/>
              <w:ind w:left="0" w:right="0"/>
              <w:jc w:val="left"/>
              <w:rPr>
                <w:rFonts w:hint="eastAsia" w:ascii="宋体" w:hAnsi="宋体" w:cs="宋体"/>
                <w:color w:val="auto"/>
                <w:szCs w:val="21"/>
                <w:highlight w:val="none"/>
              </w:rPr>
            </w:pPr>
            <w:r>
              <w:rPr>
                <w:rFonts w:hint="eastAsia" w:ascii="宋体" w:hAnsi="宋体" w:cs="宋体"/>
                <w:color w:val="auto"/>
                <w:szCs w:val="21"/>
                <w:highlight w:val="none"/>
              </w:rPr>
              <w:t>2.以上资料均要求提供扫描件（或官方网站截图），原件备查。评分中出现无证明资料或专家无法凭所提供资料判断是否得分的情况，一律作不得分处理。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5" w:type="dxa"/>
            <w:vMerge w:val="continue"/>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center"/>
              <w:outlineLvl w:val="2"/>
              <w:rPr>
                <w:rFonts w:hint="default" w:ascii="宋体" w:hAnsi="宋体"/>
                <w:color w:val="auto"/>
                <w:szCs w:val="21"/>
                <w:highlight w:val="none"/>
              </w:rPr>
            </w:pPr>
          </w:p>
        </w:tc>
        <w:tc>
          <w:tcPr>
            <w:tcW w:w="731" w:type="dxa"/>
            <w:vAlign w:val="center"/>
          </w:tcPr>
          <w:p>
            <w:pPr>
              <w:keepNext w:val="0"/>
              <w:keepLines w:val="0"/>
              <w:pageBreakBefore w:val="0"/>
              <w:widowControl w:val="0"/>
              <w:numPr>
                <w:ilvl w:val="0"/>
                <w:numId w:val="6"/>
              </w:numPr>
              <w:suppressLineNumbers w:val="0"/>
              <w:kinsoku/>
              <w:wordWrap/>
              <w:overflowPunct/>
              <w:topLinePunct w:val="0"/>
              <w:bidi w:val="0"/>
              <w:snapToGrid/>
              <w:spacing w:before="0" w:beforeAutospacing="0" w:after="0" w:afterAutospacing="0" w:line="440" w:lineRule="exact"/>
              <w:ind w:left="425" w:leftChars="0" w:right="0" w:hanging="425" w:firstLineChars="0"/>
              <w:jc w:val="center"/>
              <w:rPr>
                <w:rFonts w:hint="default" w:ascii="宋体" w:hAnsi="宋体"/>
                <w:color w:val="auto"/>
                <w:szCs w:val="21"/>
                <w:highlight w:val="none"/>
              </w:rPr>
            </w:pPr>
          </w:p>
        </w:tc>
        <w:tc>
          <w:tcPr>
            <w:tcW w:w="1623" w:type="dxa"/>
            <w:vAlign w:val="center"/>
          </w:tcPr>
          <w:p>
            <w:pPr>
              <w:keepNext w:val="0"/>
              <w:keepLines w:val="0"/>
              <w:suppressLineNumbers w:val="0"/>
              <w:spacing w:before="0" w:beforeAutospacing="0" w:after="0" w:afterAutospacing="0" w:line="420" w:lineRule="exact"/>
              <w:ind w:left="0" w:right="0"/>
              <w:jc w:val="center"/>
              <w:rPr>
                <w:rFonts w:hint="eastAsia" w:ascii="宋体" w:hAnsi="宋体"/>
                <w:color w:val="auto"/>
                <w:szCs w:val="21"/>
                <w:highlight w:val="none"/>
              </w:rPr>
            </w:pPr>
            <w:r>
              <w:rPr>
                <w:rFonts w:hint="eastAsia" w:ascii="新宋体" w:hAnsi="新宋体" w:eastAsia="新宋体"/>
                <w:color w:val="auto"/>
                <w:szCs w:val="21"/>
                <w:highlight w:val="none"/>
              </w:rPr>
              <w:t>履约评价</w:t>
            </w:r>
          </w:p>
        </w:tc>
        <w:tc>
          <w:tcPr>
            <w:tcW w:w="925" w:type="dxa"/>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5</w:t>
            </w:r>
          </w:p>
        </w:tc>
        <w:tc>
          <w:tcPr>
            <w:tcW w:w="1235" w:type="dxa"/>
            <w:vAlign w:val="center"/>
          </w:tcPr>
          <w:p>
            <w:pPr>
              <w:keepNext w:val="0"/>
              <w:keepLines w:val="0"/>
              <w:suppressLineNumbers w:val="0"/>
              <w:spacing w:before="0" w:beforeAutospacing="0" w:after="0" w:afterAutospacing="0" w:line="440" w:lineRule="exact"/>
              <w:ind w:left="0" w:right="0"/>
              <w:jc w:val="center"/>
              <w:rPr>
                <w:rFonts w:hint="eastAsia" w:ascii="宋体" w:hAnsi="宋体"/>
                <w:color w:val="auto"/>
                <w:szCs w:val="21"/>
                <w:highlight w:val="none"/>
              </w:rPr>
            </w:pPr>
            <w:r>
              <w:rPr>
                <w:rFonts w:hint="eastAsia" w:ascii="宋体" w:hAnsi="宋体"/>
                <w:color w:val="auto"/>
                <w:szCs w:val="21"/>
                <w:highlight w:val="none"/>
              </w:rPr>
              <w:t>评委评分</w:t>
            </w:r>
          </w:p>
        </w:tc>
        <w:tc>
          <w:tcPr>
            <w:tcW w:w="3790" w:type="dxa"/>
            <w:vAlign w:val="top"/>
          </w:tcPr>
          <w:p>
            <w:pPr>
              <w:keepNext w:val="0"/>
              <w:keepLines w:val="0"/>
              <w:suppressLineNumbers w:val="0"/>
              <w:spacing w:before="0" w:beforeAutospacing="0" w:after="0" w:afterAutospacing="0"/>
              <w:ind w:left="0" w:right="0"/>
              <w:rPr>
                <w:rFonts w:hint="default"/>
                <w:color w:val="auto"/>
                <w:szCs w:val="21"/>
                <w:highlight w:val="none"/>
              </w:rPr>
            </w:pPr>
            <w:r>
              <w:rPr>
                <w:rFonts w:hint="eastAsia"/>
                <w:color w:val="auto"/>
                <w:szCs w:val="21"/>
                <w:highlight w:val="none"/>
              </w:rPr>
              <w:t>投标人在信息化运维相关项目中，经服务单位或客户评价满意（优秀或满意）的，每提供一项得</w:t>
            </w:r>
            <w:r>
              <w:rPr>
                <w:rFonts w:hint="default"/>
                <w:color w:val="auto"/>
                <w:szCs w:val="21"/>
                <w:highlight w:val="none"/>
              </w:rPr>
              <w:t>1</w:t>
            </w:r>
            <w:r>
              <w:rPr>
                <w:rFonts w:hint="eastAsia"/>
                <w:color w:val="auto"/>
                <w:szCs w:val="21"/>
                <w:highlight w:val="none"/>
              </w:rPr>
              <w:t>分</w:t>
            </w:r>
            <w:r>
              <w:rPr>
                <w:rFonts w:hint="eastAsia"/>
                <w:color w:val="auto"/>
                <w:szCs w:val="21"/>
                <w:highlight w:val="none"/>
                <w:lang w:val="en-US" w:eastAsia="zh-CN"/>
              </w:rPr>
              <w:t>得20%，满分100%</w:t>
            </w:r>
            <w:r>
              <w:rPr>
                <w:rFonts w:hint="eastAsia"/>
                <w:color w:val="auto"/>
                <w:szCs w:val="21"/>
                <w:highlight w:val="none"/>
              </w:rPr>
              <w:t>。</w:t>
            </w:r>
          </w:p>
          <w:p>
            <w:pPr>
              <w:keepNext w:val="0"/>
              <w:keepLines w:val="0"/>
              <w:suppressLineNumbers w:val="0"/>
              <w:spacing w:before="0" w:beforeAutospacing="0" w:after="0" w:afterAutospacing="0"/>
              <w:ind w:left="0" w:right="0"/>
              <w:rPr>
                <w:rFonts w:hint="default" w:eastAsia="宋体"/>
                <w:b/>
                <w:bCs/>
                <w:color w:val="auto"/>
                <w:szCs w:val="21"/>
                <w:highlight w:val="none"/>
                <w:lang w:val="en-US" w:eastAsia="zh-CN"/>
              </w:rPr>
            </w:pPr>
            <w:r>
              <w:rPr>
                <w:rFonts w:hint="eastAsia"/>
                <w:b/>
                <w:bCs/>
                <w:color w:val="auto"/>
                <w:szCs w:val="21"/>
                <w:highlight w:val="none"/>
                <w:lang w:val="en-US" w:eastAsia="zh-CN"/>
              </w:rPr>
              <w:t>证明文件：</w:t>
            </w:r>
          </w:p>
          <w:p>
            <w:pPr>
              <w:keepNext w:val="0"/>
              <w:keepLines w:val="0"/>
              <w:suppressLineNumbers w:val="0"/>
              <w:spacing w:before="0" w:beforeAutospacing="0" w:after="0" w:afterAutospacing="0"/>
              <w:ind w:left="0" w:right="0"/>
              <w:rPr>
                <w:rFonts w:hint="default"/>
                <w:color w:val="auto"/>
                <w:szCs w:val="21"/>
                <w:highlight w:val="none"/>
              </w:rPr>
            </w:pPr>
            <w:r>
              <w:rPr>
                <w:rFonts w:hint="default"/>
                <w:color w:val="auto"/>
                <w:szCs w:val="21"/>
                <w:highlight w:val="none"/>
              </w:rPr>
              <w:t>1</w:t>
            </w:r>
            <w:r>
              <w:rPr>
                <w:rFonts w:hint="eastAsia"/>
                <w:color w:val="auto"/>
                <w:szCs w:val="21"/>
                <w:highlight w:val="none"/>
              </w:rPr>
              <w:t>投标方须提供相关项目合同关键页（含签订合同双方的单位名称、合同项目名称、项目金额与含签订合同双方的落款盖章、签订日期的关键页）或中标通知书复印件。</w:t>
            </w:r>
          </w:p>
          <w:p>
            <w:pPr>
              <w:keepNext w:val="0"/>
              <w:keepLines w:val="0"/>
              <w:suppressLineNumbers w:val="0"/>
              <w:spacing w:before="0" w:beforeAutospacing="0" w:after="0" w:afterAutospacing="0"/>
              <w:ind w:left="0" w:right="0"/>
              <w:rPr>
                <w:rFonts w:hint="default"/>
                <w:color w:val="auto"/>
                <w:szCs w:val="21"/>
                <w:highlight w:val="none"/>
              </w:rPr>
            </w:pPr>
            <w:r>
              <w:rPr>
                <w:rFonts w:hint="default"/>
                <w:color w:val="auto"/>
                <w:szCs w:val="21"/>
                <w:highlight w:val="none"/>
              </w:rPr>
              <w:t>2.</w:t>
            </w:r>
            <w:r>
              <w:rPr>
                <w:rFonts w:hint="eastAsia"/>
                <w:color w:val="auto"/>
                <w:szCs w:val="21"/>
                <w:highlight w:val="none"/>
              </w:rPr>
              <w:t>投标方须提供经服务单位或客户盖章后的履约评价证明材料。</w:t>
            </w:r>
          </w:p>
          <w:p>
            <w:pPr>
              <w:keepNext w:val="0"/>
              <w:keepLines w:val="0"/>
              <w:suppressLineNumbers w:val="0"/>
              <w:spacing w:before="0" w:beforeAutospacing="0" w:after="0" w:afterAutospacing="0"/>
              <w:ind w:left="0" w:right="0"/>
              <w:jc w:val="left"/>
              <w:rPr>
                <w:rFonts w:hint="eastAsia" w:ascii="宋体" w:hAnsi="宋体"/>
                <w:color w:val="auto"/>
                <w:szCs w:val="21"/>
                <w:highlight w:val="none"/>
              </w:rPr>
            </w:pPr>
            <w:r>
              <w:rPr>
                <w:rFonts w:hint="default"/>
                <w:color w:val="auto"/>
                <w:szCs w:val="21"/>
                <w:highlight w:val="none"/>
              </w:rPr>
              <w:t>3.</w:t>
            </w:r>
            <w:r>
              <w:rPr>
                <w:rFonts w:hint="eastAsia"/>
                <w:color w:val="auto"/>
                <w:szCs w:val="21"/>
                <w:highlight w:val="none"/>
              </w:rPr>
              <w:t>以上证明材料均须加盖投标人公章，评分中出现无证明资料或专家无法凭所提供资料判断是否得分的情况，一律作不得分处理。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5" w:type="dxa"/>
            <w:vMerge w:val="continue"/>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center"/>
              <w:outlineLvl w:val="2"/>
              <w:rPr>
                <w:rFonts w:hint="default" w:ascii="宋体" w:hAnsi="宋体"/>
                <w:color w:val="auto"/>
                <w:szCs w:val="21"/>
                <w:highlight w:val="none"/>
              </w:rPr>
            </w:pPr>
          </w:p>
        </w:tc>
        <w:tc>
          <w:tcPr>
            <w:tcW w:w="731" w:type="dxa"/>
            <w:vAlign w:val="center"/>
          </w:tcPr>
          <w:p>
            <w:pPr>
              <w:keepNext w:val="0"/>
              <w:keepLines w:val="0"/>
              <w:pageBreakBefore w:val="0"/>
              <w:widowControl w:val="0"/>
              <w:numPr>
                <w:ilvl w:val="0"/>
                <w:numId w:val="6"/>
              </w:numPr>
              <w:suppressLineNumbers w:val="0"/>
              <w:kinsoku/>
              <w:wordWrap/>
              <w:overflowPunct/>
              <w:topLinePunct w:val="0"/>
              <w:bidi w:val="0"/>
              <w:snapToGrid/>
              <w:spacing w:before="0" w:beforeAutospacing="0" w:after="0" w:afterAutospacing="0" w:line="440" w:lineRule="exact"/>
              <w:ind w:left="425" w:leftChars="0" w:right="0" w:hanging="425" w:firstLineChars="0"/>
              <w:jc w:val="center"/>
              <w:rPr>
                <w:rFonts w:hint="default" w:ascii="宋体" w:hAnsi="宋体"/>
                <w:color w:val="auto"/>
                <w:szCs w:val="21"/>
                <w:highlight w:val="none"/>
              </w:rPr>
            </w:pPr>
          </w:p>
        </w:tc>
        <w:tc>
          <w:tcPr>
            <w:tcW w:w="1623"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服务网点</w:t>
            </w:r>
          </w:p>
        </w:tc>
        <w:tc>
          <w:tcPr>
            <w:tcW w:w="925" w:type="dxa"/>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2</w:t>
            </w:r>
          </w:p>
        </w:tc>
        <w:tc>
          <w:tcPr>
            <w:tcW w:w="1235"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评委评分</w:t>
            </w:r>
          </w:p>
        </w:tc>
        <w:tc>
          <w:tcPr>
            <w:tcW w:w="3790" w:type="dxa"/>
            <w:vAlign w:val="top"/>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深圳供应商，或非深圳供应商但在深圳有合法注册的分公司（或售后机构）（分公司的必须提供分公司营业执照扫描件或复印件，售后机构必须同时提供售后服务合作合同及售后机构营业执照扫描件或复印件作为得分依据，原件备查）的，得</w:t>
            </w:r>
            <w:r>
              <w:rPr>
                <w:rFonts w:hint="eastAsia" w:ascii="宋体" w:hAnsi="宋体"/>
                <w:color w:val="auto"/>
                <w:szCs w:val="21"/>
                <w:highlight w:val="none"/>
                <w:lang w:val="en-US" w:eastAsia="zh-CN"/>
              </w:rPr>
              <w:t>100%</w:t>
            </w:r>
            <w:r>
              <w:rPr>
                <w:rFonts w:hint="eastAsia" w:ascii="宋体" w:hAnsi="宋体"/>
                <w:color w:val="auto"/>
                <w:szCs w:val="21"/>
                <w:highlight w:val="none"/>
              </w:rPr>
              <w:t>；非深圳供应商提供中标后设立本地经营（服务）网点承诺（格式自拟），得</w:t>
            </w:r>
            <w:r>
              <w:rPr>
                <w:rFonts w:hint="eastAsia" w:ascii="宋体" w:hAnsi="宋体"/>
                <w:color w:val="auto"/>
                <w:szCs w:val="21"/>
                <w:highlight w:val="none"/>
                <w:lang w:val="en-US" w:eastAsia="zh-CN"/>
              </w:rPr>
              <w:t>30%</w:t>
            </w:r>
            <w:r>
              <w:rPr>
                <w:rFonts w:hint="eastAsia" w:ascii="宋体" w:hAnsi="宋体"/>
                <w:color w:val="auto"/>
                <w:szCs w:val="21"/>
                <w:highlight w:val="none"/>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5" w:type="dxa"/>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center"/>
              <w:rPr>
                <w:rFonts w:hint="default" w:ascii="宋体" w:hAnsi="宋体"/>
                <w:b/>
                <w:color w:val="auto"/>
                <w:szCs w:val="21"/>
                <w:highlight w:val="none"/>
              </w:rPr>
            </w:pPr>
            <w:r>
              <w:rPr>
                <w:rFonts w:hint="default" w:ascii="宋体" w:hAnsi="宋体"/>
                <w:b/>
                <w:color w:val="auto"/>
                <w:szCs w:val="21"/>
                <w:highlight w:val="none"/>
              </w:rPr>
              <w:t>4</w:t>
            </w:r>
          </w:p>
        </w:tc>
        <w:tc>
          <w:tcPr>
            <w:tcW w:w="4514" w:type="dxa"/>
            <w:gridSpan w:val="4"/>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center"/>
              <w:rPr>
                <w:rFonts w:hint="default" w:ascii="宋体" w:hAnsi="宋体"/>
                <w:b/>
                <w:color w:val="auto"/>
                <w:szCs w:val="21"/>
                <w:highlight w:val="none"/>
              </w:rPr>
            </w:pPr>
            <w:r>
              <w:rPr>
                <w:rFonts w:hint="eastAsia" w:ascii="宋体" w:hAnsi="宋体"/>
                <w:b/>
                <w:color w:val="auto"/>
                <w:szCs w:val="21"/>
                <w:highlight w:val="none"/>
              </w:rPr>
              <w:t>诚信情况</w:t>
            </w:r>
          </w:p>
        </w:tc>
        <w:tc>
          <w:tcPr>
            <w:tcW w:w="3790" w:type="dxa"/>
            <w:vAlign w:val="center"/>
          </w:tcPr>
          <w:p>
            <w:pPr>
              <w:pStyle w:val="3"/>
              <w:keepNext w:val="0"/>
              <w:keepLines w:val="0"/>
              <w:pageBreakBefore w:val="0"/>
              <w:widowControl w:val="0"/>
              <w:numPr>
                <w:ilvl w:val="12"/>
                <w:numId w:val="0"/>
              </w:numPr>
              <w:suppressLineNumbers w:val="0"/>
              <w:pBdr>
                <w:bottom w:val="none" w:color="auto" w:sz="0" w:space="0"/>
              </w:pBdr>
              <w:tabs>
                <w:tab w:val="clear" w:pos="4153"/>
                <w:tab w:val="clear" w:pos="8306"/>
              </w:tabs>
              <w:kinsoku/>
              <w:wordWrap/>
              <w:overflowPunct/>
              <w:topLinePunct w:val="0"/>
              <w:bidi w:val="0"/>
              <w:snapToGrid/>
              <w:spacing w:before="0" w:beforeAutospacing="0" w:after="0" w:afterAutospacing="0" w:line="440" w:lineRule="exact"/>
              <w:ind w:left="0" w:right="0"/>
              <w:rPr>
                <w:rFonts w:hint="default" w:hAnsi="宋体"/>
                <w:b/>
                <w:color w:val="auto"/>
                <w:sz w:val="21"/>
                <w:szCs w:val="21"/>
                <w:highlight w:val="none"/>
              </w:rPr>
            </w:pPr>
            <w:r>
              <w:rPr>
                <w:rFonts w:hint="eastAsia" w:hAnsi="宋体"/>
                <w:b/>
                <w:color w:val="auto"/>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5" w:type="dxa"/>
            <w:vMerge w:val="restart"/>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center"/>
              <w:rPr>
                <w:rFonts w:hint="default" w:ascii="宋体" w:hAnsi="宋体"/>
                <w:b/>
                <w:color w:val="auto"/>
                <w:szCs w:val="21"/>
                <w:highlight w:val="none"/>
              </w:rPr>
            </w:pPr>
          </w:p>
        </w:tc>
        <w:tc>
          <w:tcPr>
            <w:tcW w:w="731" w:type="dxa"/>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center"/>
              <w:rPr>
                <w:rFonts w:hint="default" w:ascii="宋体" w:hAnsi="宋体"/>
                <w:b/>
                <w:color w:val="auto"/>
                <w:szCs w:val="21"/>
                <w:highlight w:val="none"/>
              </w:rPr>
            </w:pPr>
            <w:r>
              <w:rPr>
                <w:rFonts w:hint="eastAsia" w:ascii="宋体" w:hAnsi="宋体"/>
                <w:b/>
                <w:color w:val="auto"/>
                <w:szCs w:val="21"/>
                <w:highlight w:val="none"/>
              </w:rPr>
              <w:t>序号</w:t>
            </w:r>
          </w:p>
        </w:tc>
        <w:tc>
          <w:tcPr>
            <w:tcW w:w="1623" w:type="dxa"/>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center"/>
              <w:rPr>
                <w:rFonts w:hint="default" w:ascii="宋体" w:hAnsi="宋体"/>
                <w:b/>
                <w:color w:val="auto"/>
                <w:szCs w:val="21"/>
                <w:highlight w:val="none"/>
              </w:rPr>
            </w:pPr>
            <w:r>
              <w:rPr>
                <w:rFonts w:hint="eastAsia" w:ascii="宋体" w:hAnsi="宋体"/>
                <w:b/>
                <w:color w:val="auto"/>
                <w:szCs w:val="21"/>
                <w:highlight w:val="none"/>
              </w:rPr>
              <w:t>评分因素</w:t>
            </w:r>
          </w:p>
        </w:tc>
        <w:tc>
          <w:tcPr>
            <w:tcW w:w="925" w:type="dxa"/>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center"/>
              <w:rPr>
                <w:rFonts w:hint="default" w:ascii="宋体" w:hAnsi="宋体"/>
                <w:b/>
                <w:color w:val="auto"/>
                <w:szCs w:val="21"/>
                <w:highlight w:val="none"/>
              </w:rPr>
            </w:pPr>
            <w:r>
              <w:rPr>
                <w:rFonts w:hint="eastAsia" w:ascii="宋体" w:hAnsi="宋体"/>
                <w:b/>
                <w:color w:val="auto"/>
                <w:szCs w:val="21"/>
                <w:highlight w:val="none"/>
              </w:rPr>
              <w:t>权重</w:t>
            </w:r>
          </w:p>
        </w:tc>
        <w:tc>
          <w:tcPr>
            <w:tcW w:w="1235" w:type="dxa"/>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center"/>
              <w:rPr>
                <w:rFonts w:hint="default" w:ascii="宋体" w:hAnsi="宋体"/>
                <w:b/>
                <w:color w:val="auto"/>
                <w:szCs w:val="21"/>
                <w:highlight w:val="none"/>
              </w:rPr>
            </w:pPr>
            <w:r>
              <w:rPr>
                <w:rFonts w:hint="eastAsia" w:ascii="宋体" w:hAnsi="宋体"/>
                <w:b/>
                <w:color w:val="auto"/>
                <w:szCs w:val="21"/>
                <w:highlight w:val="none"/>
              </w:rPr>
              <w:t>评分方式</w:t>
            </w:r>
          </w:p>
        </w:tc>
        <w:tc>
          <w:tcPr>
            <w:tcW w:w="3790" w:type="dxa"/>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center"/>
              <w:rPr>
                <w:rFonts w:hint="default" w:ascii="宋体" w:hAnsi="宋体"/>
                <w:b/>
                <w:color w:val="auto"/>
                <w:szCs w:val="21"/>
                <w:highlight w:val="none"/>
              </w:rPr>
            </w:pPr>
            <w:r>
              <w:rPr>
                <w:rFonts w:hint="eastAsia" w:ascii="宋体" w:hAnsi="宋体"/>
                <w:b/>
                <w:color w:val="auto"/>
                <w:szCs w:val="21"/>
                <w:highlight w:val="none"/>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5" w:type="dxa"/>
            <w:vMerge w:val="continue"/>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center"/>
              <w:outlineLvl w:val="0"/>
              <w:rPr>
                <w:rFonts w:hint="default" w:ascii="宋体" w:hAnsi="宋体"/>
                <w:color w:val="auto"/>
                <w:szCs w:val="21"/>
                <w:highlight w:val="none"/>
              </w:rPr>
            </w:pPr>
          </w:p>
        </w:tc>
        <w:tc>
          <w:tcPr>
            <w:tcW w:w="731" w:type="dxa"/>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center"/>
              <w:rPr>
                <w:rFonts w:hint="default" w:ascii="宋体" w:hAnsi="宋体"/>
                <w:color w:val="auto"/>
                <w:szCs w:val="21"/>
                <w:highlight w:val="none"/>
              </w:rPr>
            </w:pPr>
            <w:r>
              <w:rPr>
                <w:rFonts w:hint="default" w:ascii="宋体" w:hAnsi="宋体"/>
                <w:color w:val="auto"/>
                <w:szCs w:val="21"/>
                <w:highlight w:val="none"/>
              </w:rPr>
              <w:t>1</w:t>
            </w:r>
          </w:p>
        </w:tc>
        <w:tc>
          <w:tcPr>
            <w:tcW w:w="1623" w:type="dxa"/>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center"/>
              <w:rPr>
                <w:rFonts w:hint="default" w:ascii="宋体" w:hAnsi="宋体"/>
                <w:color w:val="auto"/>
                <w:szCs w:val="21"/>
                <w:highlight w:val="none"/>
              </w:rPr>
            </w:pPr>
            <w:r>
              <w:rPr>
                <w:rFonts w:hint="eastAsia" w:ascii="宋体" w:hAnsi="宋体"/>
                <w:color w:val="auto"/>
                <w:szCs w:val="21"/>
                <w:highlight w:val="none"/>
              </w:rPr>
              <w:t>诚信</w:t>
            </w:r>
          </w:p>
        </w:tc>
        <w:tc>
          <w:tcPr>
            <w:tcW w:w="925" w:type="dxa"/>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center"/>
              <w:rPr>
                <w:rFonts w:hint="default" w:ascii="宋体" w:hAnsi="宋体"/>
                <w:color w:val="auto"/>
                <w:szCs w:val="21"/>
                <w:highlight w:val="none"/>
              </w:rPr>
            </w:pPr>
            <w:r>
              <w:rPr>
                <w:rFonts w:hint="default" w:ascii="宋体" w:hAnsi="宋体"/>
                <w:color w:val="auto"/>
                <w:szCs w:val="21"/>
                <w:highlight w:val="none"/>
              </w:rPr>
              <w:t>5</w:t>
            </w:r>
          </w:p>
        </w:tc>
        <w:tc>
          <w:tcPr>
            <w:tcW w:w="1235" w:type="dxa"/>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jc w:val="center"/>
              <w:rPr>
                <w:rFonts w:hint="default" w:ascii="宋体" w:hAnsi="宋体"/>
                <w:color w:val="auto"/>
                <w:szCs w:val="21"/>
                <w:highlight w:val="none"/>
              </w:rPr>
            </w:pPr>
            <w:r>
              <w:rPr>
                <w:rFonts w:hint="eastAsia" w:ascii="宋体" w:hAnsi="宋体"/>
                <w:color w:val="auto"/>
                <w:szCs w:val="21"/>
                <w:highlight w:val="none"/>
              </w:rPr>
              <w:t>评委评分</w:t>
            </w:r>
          </w:p>
        </w:tc>
        <w:tc>
          <w:tcPr>
            <w:tcW w:w="3790" w:type="dxa"/>
          </w:tcPr>
          <w:p>
            <w:pPr>
              <w:keepNext w:val="0"/>
              <w:keepLines w:val="0"/>
              <w:suppressLineNumbers w:val="0"/>
              <w:spacing w:before="0" w:beforeAutospacing="0" w:after="0" w:afterAutospacing="0" w:line="440" w:lineRule="exact"/>
              <w:ind w:left="0" w:right="0"/>
              <w:rPr>
                <w:rFonts w:hint="default" w:ascii="宋体" w:hAnsi="宋体"/>
                <w:color w:val="auto"/>
                <w:szCs w:val="21"/>
                <w:highlight w:val="none"/>
              </w:rPr>
            </w:pPr>
            <w:r>
              <w:rPr>
                <w:rFonts w:hint="default" w:ascii="宋体" w:hAnsi="宋体"/>
                <w:color w:val="auto"/>
                <w:szCs w:val="21"/>
                <w:highlight w:val="none"/>
              </w:rPr>
              <w:t>投标人存在《诚信承诺函》所列情形但超出法定追诉时效，或情节轻微未给予禁止参与政府采购的行政处罚的，本项得0分</w:t>
            </w:r>
            <w:r>
              <w:rPr>
                <w:rFonts w:hint="eastAsia" w:ascii="宋体" w:hAnsi="宋体"/>
                <w:color w:val="auto"/>
                <w:szCs w:val="21"/>
                <w:highlight w:val="none"/>
              </w:rPr>
              <w:t>；</w:t>
            </w:r>
            <w:r>
              <w:rPr>
                <w:rFonts w:hint="default" w:ascii="宋体" w:hAnsi="宋体"/>
                <w:color w:val="auto"/>
                <w:szCs w:val="21"/>
                <w:highlight w:val="none"/>
              </w:rPr>
              <w:t>不存在上述情形的，本项得满分。</w:t>
            </w:r>
          </w:p>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rPr>
                <w:rFonts w:hint="default" w:ascii="宋体" w:hAnsi="宋体"/>
                <w:color w:val="auto"/>
                <w:szCs w:val="21"/>
                <w:highlight w:val="none"/>
              </w:rPr>
            </w:pPr>
            <w:r>
              <w:rPr>
                <w:rFonts w:hint="default" w:ascii="宋体" w:hAnsi="宋体"/>
                <w:color w:val="auto"/>
                <w:szCs w:val="21"/>
                <w:highlight w:val="none"/>
              </w:rPr>
              <w:t>注：提供《诚信承诺函》盖投标人公章（详见“格式十二：诚信承诺函格式”），投标人应对提供的</w:t>
            </w:r>
            <w:r>
              <w:rPr>
                <w:rFonts w:hint="eastAsia" w:ascii="宋体" w:hAnsi="宋体"/>
                <w:color w:val="auto"/>
                <w:szCs w:val="21"/>
                <w:highlight w:val="none"/>
              </w:rPr>
              <w:t xml:space="preserve"> </w:t>
            </w:r>
            <w:r>
              <w:rPr>
                <w:rFonts w:hint="default" w:ascii="宋体" w:hAnsi="宋体"/>
                <w:color w:val="auto"/>
                <w:szCs w:val="21"/>
                <w:highlight w:val="none"/>
              </w:rPr>
              <w:t>《诚信承诺函》负责（格式必须按照招标文件格式要求，不得作出任何调整或修订，否则视为无效证明文件）。</w:t>
            </w:r>
          </w:p>
        </w:tc>
      </w:tr>
    </w:tbl>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color w:val="auto"/>
          <w:szCs w:val="21"/>
          <w:highlight w:val="none"/>
        </w:rPr>
      </w:pPr>
      <w:r>
        <w:rPr>
          <w:rFonts w:hint="eastAsia" w:ascii="宋体" w:hAnsi="宋体"/>
          <w:b/>
          <w:color w:val="auto"/>
          <w:szCs w:val="21"/>
          <w:highlight w:val="none"/>
        </w:rPr>
        <w:t>说明：</w:t>
      </w:r>
      <w:r>
        <w:rPr>
          <w:rFonts w:hint="eastAsia" w:ascii="宋体" w:hAnsi="宋体"/>
          <w:color w:val="auto"/>
          <w:szCs w:val="21"/>
          <w:highlight w:val="none"/>
        </w:rPr>
        <w:t>1、本评分表中每一栏的得分最高不得超过该项评审指标的分值。2、表中要求提供相关计分证明文件的内容，投标文件中须明确加以说明，未按要求提供相关文件或说明不清楚的按不符合要求处理。</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b/>
          <w:color w:val="auto"/>
          <w:szCs w:val="21"/>
          <w:highlight w:val="none"/>
        </w:rPr>
      </w:pPr>
      <w:r>
        <w:rPr>
          <w:rFonts w:hint="eastAsia" w:ascii="宋体" w:hAnsi="宋体"/>
          <w:b/>
          <w:color w:val="auto"/>
          <w:szCs w:val="21"/>
          <w:highlight w:val="none"/>
        </w:rPr>
        <w:t>三、评标及定标程序</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b/>
          <w:color w:val="auto"/>
          <w:szCs w:val="21"/>
          <w:highlight w:val="none"/>
        </w:rPr>
      </w:pPr>
      <w:r>
        <w:rPr>
          <w:rFonts w:hint="eastAsia" w:ascii="宋体" w:hAnsi="宋体"/>
          <w:b/>
          <w:color w:val="auto"/>
          <w:szCs w:val="21"/>
          <w:highlight w:val="none"/>
        </w:rPr>
        <w:t>（一）授权评标委员会确定中标单位的方式</w:t>
      </w:r>
    </w:p>
    <w:p>
      <w:pPr>
        <w:pStyle w:val="8"/>
        <w:keepNext w:val="0"/>
        <w:keepLines w:val="0"/>
        <w:pageBreakBefore w:val="0"/>
        <w:widowControl w:val="0"/>
        <w:numPr>
          <w:ilvl w:val="0"/>
          <w:numId w:val="7"/>
        </w:numPr>
        <w:kinsoku/>
        <w:wordWrap/>
        <w:overflowPunct/>
        <w:topLinePunct w:val="0"/>
        <w:autoSpaceDE/>
        <w:autoSpaceDN/>
        <w:bidi w:val="0"/>
        <w:adjustRightInd/>
        <w:snapToGrid/>
        <w:spacing w:line="440" w:lineRule="exact"/>
        <w:ind w:firstLineChars="0"/>
        <w:textAlignment w:val="auto"/>
        <w:rPr>
          <w:rFonts w:ascii="宋体" w:hAnsi="宋体"/>
          <w:b/>
          <w:color w:val="auto"/>
          <w:szCs w:val="21"/>
          <w:highlight w:val="none"/>
        </w:rPr>
      </w:pPr>
      <w:r>
        <w:rPr>
          <w:rFonts w:ascii="宋体" w:hAnsi="宋体"/>
          <w:b/>
          <w:color w:val="auto"/>
          <w:szCs w:val="21"/>
          <w:highlight w:val="none"/>
        </w:rPr>
        <w:t>综合评分法</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Calibri" w:hAnsi="Calibri"/>
          <w:b/>
          <w:color w:val="auto"/>
          <w:szCs w:val="21"/>
          <w:highlight w:val="none"/>
        </w:rPr>
      </w:pPr>
      <w:r>
        <w:rPr>
          <w:rFonts w:hint="eastAsia" w:ascii="宋体" w:hAnsi="宋体"/>
          <w:b/>
          <w:color w:val="auto"/>
          <w:szCs w:val="21"/>
          <w:highlight w:val="none"/>
        </w:rPr>
        <w:t>1、</w:t>
      </w:r>
      <w:r>
        <w:rPr>
          <w:rFonts w:ascii="Calibri" w:hAnsi="宋体"/>
          <w:b/>
          <w:color w:val="auto"/>
          <w:szCs w:val="21"/>
          <w:highlight w:val="none"/>
        </w:rPr>
        <w:t>符合性检查</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bCs/>
          <w:color w:val="auto"/>
          <w:szCs w:val="21"/>
          <w:highlight w:val="none"/>
        </w:rPr>
      </w:pPr>
      <w:r>
        <w:rPr>
          <w:rFonts w:hint="eastAsia" w:ascii="宋体" w:hAnsi="宋体"/>
          <w:bCs/>
          <w:color w:val="auto"/>
          <w:szCs w:val="21"/>
          <w:highlight w:val="none"/>
        </w:rPr>
        <w:t>（1）</w:t>
      </w:r>
      <w:r>
        <w:rPr>
          <w:rFonts w:ascii="宋体" w:hAnsi="宋体"/>
          <w:bCs/>
          <w:color w:val="auto"/>
          <w:szCs w:val="21"/>
          <w:highlight w:val="none"/>
        </w:rPr>
        <w:t>评标委员会根据</w:t>
      </w:r>
      <w:r>
        <w:rPr>
          <w:rFonts w:hint="eastAsia" w:ascii="宋体" w:hAnsi="宋体"/>
          <w:bCs/>
          <w:color w:val="auto"/>
          <w:szCs w:val="21"/>
          <w:highlight w:val="none"/>
        </w:rPr>
        <w:t>《</w:t>
      </w:r>
      <w:r>
        <w:rPr>
          <w:rFonts w:ascii="宋体" w:hAnsi="宋体"/>
          <w:bCs/>
          <w:color w:val="auto"/>
          <w:szCs w:val="21"/>
          <w:highlight w:val="none"/>
        </w:rPr>
        <w:t>符合性检查表》的内容和标准，对所有</w:t>
      </w:r>
      <w:r>
        <w:rPr>
          <w:rFonts w:hint="eastAsia" w:ascii="宋体" w:hAnsi="宋体"/>
          <w:bCs/>
          <w:color w:val="auto"/>
          <w:szCs w:val="21"/>
          <w:highlight w:val="none"/>
        </w:rPr>
        <w:t>通过资格性核查的</w:t>
      </w:r>
      <w:r>
        <w:rPr>
          <w:rFonts w:ascii="宋体" w:hAnsi="宋体"/>
          <w:bCs/>
          <w:color w:val="auto"/>
          <w:szCs w:val="21"/>
          <w:highlight w:val="none"/>
        </w:rPr>
        <w:t>投标</w:t>
      </w:r>
      <w:r>
        <w:rPr>
          <w:rFonts w:hint="eastAsia" w:ascii="宋体" w:hAnsi="宋体"/>
          <w:bCs/>
          <w:color w:val="auto"/>
          <w:szCs w:val="21"/>
          <w:highlight w:val="none"/>
        </w:rPr>
        <w:t>文件</w:t>
      </w:r>
      <w:r>
        <w:rPr>
          <w:rFonts w:ascii="宋体" w:hAnsi="宋体"/>
          <w:bCs/>
          <w:color w:val="auto"/>
          <w:szCs w:val="21"/>
          <w:highlight w:val="none"/>
        </w:rPr>
        <w:t>进行</w:t>
      </w:r>
      <w:r>
        <w:rPr>
          <w:rFonts w:hint="eastAsia" w:ascii="宋体" w:hAnsi="宋体"/>
          <w:bCs/>
          <w:color w:val="auto"/>
          <w:szCs w:val="21"/>
          <w:highlight w:val="none"/>
        </w:rPr>
        <w:t>审</w:t>
      </w:r>
      <w:r>
        <w:rPr>
          <w:rFonts w:ascii="宋体" w:hAnsi="宋体"/>
          <w:bCs/>
          <w:color w:val="auto"/>
          <w:szCs w:val="21"/>
          <w:highlight w:val="none"/>
        </w:rPr>
        <w:t>查。</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bCs/>
          <w:color w:val="auto"/>
          <w:szCs w:val="21"/>
          <w:highlight w:val="none"/>
        </w:rPr>
      </w:pPr>
      <w:r>
        <w:rPr>
          <w:rFonts w:hint="eastAsia" w:ascii="宋体" w:hAnsi="宋体"/>
          <w:bCs/>
          <w:color w:val="auto"/>
          <w:szCs w:val="21"/>
          <w:highlight w:val="none"/>
        </w:rPr>
        <w:t>（2）</w:t>
      </w:r>
      <w:r>
        <w:rPr>
          <w:rFonts w:ascii="宋体" w:hAnsi="宋体"/>
          <w:bCs/>
          <w:color w:val="auto"/>
          <w:szCs w:val="21"/>
          <w:highlight w:val="none"/>
        </w:rPr>
        <w:t>符合性检查的对象是投标人提交的投标文件，评标委员会只就投标文件中所载明的情况进行</w:t>
      </w:r>
      <w:r>
        <w:rPr>
          <w:rFonts w:hint="eastAsia" w:ascii="宋体" w:hAnsi="宋体"/>
          <w:bCs/>
          <w:color w:val="auto"/>
          <w:szCs w:val="21"/>
          <w:highlight w:val="none"/>
        </w:rPr>
        <w:t>审</w:t>
      </w:r>
      <w:r>
        <w:rPr>
          <w:rFonts w:ascii="宋体" w:hAnsi="宋体"/>
          <w:bCs/>
          <w:color w:val="auto"/>
          <w:szCs w:val="21"/>
          <w:highlight w:val="none"/>
        </w:rPr>
        <w:t>查。</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Calibri" w:hAnsi="Calibri"/>
          <w:color w:val="auto"/>
          <w:szCs w:val="21"/>
          <w:highlight w:val="none"/>
        </w:rPr>
      </w:pPr>
      <w:r>
        <w:rPr>
          <w:rFonts w:hint="eastAsia" w:ascii="宋体" w:hAnsi="宋体"/>
          <w:bCs/>
          <w:color w:val="auto"/>
          <w:szCs w:val="21"/>
          <w:highlight w:val="none"/>
        </w:rPr>
        <w:t>（3）</w:t>
      </w:r>
      <w:r>
        <w:rPr>
          <w:rFonts w:ascii="宋体" w:hAnsi="宋体"/>
          <w:bCs/>
          <w:color w:val="auto"/>
          <w:szCs w:val="21"/>
          <w:highlight w:val="none"/>
        </w:rPr>
        <w:t>符</w:t>
      </w:r>
      <w:r>
        <w:rPr>
          <w:rFonts w:ascii="Calibri" w:hAnsi="宋体"/>
          <w:color w:val="auto"/>
          <w:szCs w:val="21"/>
          <w:highlight w:val="none"/>
        </w:rPr>
        <w:t>合性检查的结果是</w:t>
      </w:r>
      <w:r>
        <w:rPr>
          <w:rFonts w:ascii="Calibri" w:hAnsi="Calibri"/>
          <w:color w:val="auto"/>
          <w:szCs w:val="21"/>
          <w:highlight w:val="none"/>
        </w:rPr>
        <w:t>“</w:t>
      </w:r>
      <w:r>
        <w:rPr>
          <w:rFonts w:ascii="Calibri" w:hAnsi="宋体"/>
          <w:color w:val="auto"/>
          <w:szCs w:val="21"/>
          <w:highlight w:val="none"/>
        </w:rPr>
        <w:t>通过</w:t>
      </w:r>
      <w:r>
        <w:rPr>
          <w:rFonts w:ascii="Calibri" w:hAnsi="Calibri"/>
          <w:color w:val="auto"/>
          <w:szCs w:val="21"/>
          <w:highlight w:val="none"/>
        </w:rPr>
        <w:t>”</w:t>
      </w:r>
      <w:r>
        <w:rPr>
          <w:rFonts w:ascii="Calibri" w:hAnsi="宋体"/>
          <w:color w:val="auto"/>
          <w:szCs w:val="21"/>
          <w:highlight w:val="none"/>
        </w:rPr>
        <w:t>或</w:t>
      </w:r>
      <w:r>
        <w:rPr>
          <w:rFonts w:ascii="Calibri" w:hAnsi="Calibri"/>
          <w:color w:val="auto"/>
          <w:szCs w:val="21"/>
          <w:highlight w:val="none"/>
        </w:rPr>
        <w:t>“</w:t>
      </w:r>
      <w:r>
        <w:rPr>
          <w:rFonts w:ascii="Calibri" w:hAnsi="宋体"/>
          <w:color w:val="auto"/>
          <w:szCs w:val="21"/>
          <w:highlight w:val="none"/>
        </w:rPr>
        <w:t>不通过</w:t>
      </w:r>
      <w:r>
        <w:rPr>
          <w:rFonts w:ascii="Calibri" w:hAnsi="Calibri"/>
          <w:color w:val="auto"/>
          <w:szCs w:val="21"/>
          <w:highlight w:val="none"/>
        </w:rPr>
        <w:t>”</w:t>
      </w:r>
      <w:r>
        <w:rPr>
          <w:rFonts w:ascii="Calibri" w:hAnsi="宋体"/>
          <w:color w:val="auto"/>
          <w:szCs w:val="21"/>
          <w:highlight w:val="none"/>
        </w:rPr>
        <w:t>，只有逐条通过</w:t>
      </w:r>
      <w:r>
        <w:rPr>
          <w:rFonts w:ascii="宋体" w:hAnsi="宋体"/>
          <w:bCs/>
          <w:color w:val="auto"/>
          <w:szCs w:val="21"/>
          <w:highlight w:val="none"/>
        </w:rPr>
        <w:t>《符合性检查表》</w:t>
      </w:r>
      <w:r>
        <w:rPr>
          <w:rFonts w:ascii="Calibri" w:hAnsi="宋体"/>
          <w:color w:val="auto"/>
          <w:szCs w:val="21"/>
          <w:highlight w:val="none"/>
        </w:rPr>
        <w:t>各项检查的投标方能进入下一阶段的评标，否则将导致其投标被废标。</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b/>
          <w:color w:val="auto"/>
          <w:szCs w:val="21"/>
          <w:highlight w:val="none"/>
        </w:rPr>
      </w:pPr>
      <w:r>
        <w:rPr>
          <w:rFonts w:hint="eastAsia" w:ascii="宋体" w:hAnsi="宋体"/>
          <w:b/>
          <w:color w:val="auto"/>
          <w:szCs w:val="21"/>
          <w:highlight w:val="none"/>
        </w:rPr>
        <w:t>2、</w:t>
      </w:r>
      <w:r>
        <w:rPr>
          <w:rFonts w:ascii="宋体" w:hAnsi="宋体"/>
          <w:b/>
          <w:color w:val="auto"/>
          <w:szCs w:val="21"/>
          <w:highlight w:val="none"/>
        </w:rPr>
        <w:t>商务</w:t>
      </w:r>
      <w:r>
        <w:rPr>
          <w:rFonts w:hint="eastAsia" w:ascii="宋体" w:hAnsi="宋体"/>
          <w:b/>
          <w:color w:val="auto"/>
          <w:szCs w:val="21"/>
          <w:highlight w:val="none"/>
        </w:rPr>
        <w:t>、</w:t>
      </w:r>
      <w:r>
        <w:rPr>
          <w:rFonts w:ascii="宋体" w:hAnsi="宋体"/>
          <w:b/>
          <w:color w:val="auto"/>
          <w:szCs w:val="21"/>
          <w:highlight w:val="none"/>
        </w:rPr>
        <w:t>技术及价格评议</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评标委员会根据《</w:t>
      </w:r>
      <w:r>
        <w:rPr>
          <w:rFonts w:hint="eastAsia" w:ascii="宋体" w:hAnsi="宋体"/>
          <w:color w:val="auto"/>
          <w:szCs w:val="21"/>
          <w:highlight w:val="none"/>
        </w:rPr>
        <w:t>评分表</w:t>
      </w:r>
      <w:r>
        <w:rPr>
          <w:rFonts w:ascii="宋体" w:hAnsi="宋体"/>
          <w:color w:val="auto"/>
          <w:szCs w:val="21"/>
          <w:highlight w:val="none"/>
        </w:rPr>
        <w:t>》的内容和标准，对通过</w:t>
      </w:r>
      <w:r>
        <w:rPr>
          <w:rFonts w:hint="eastAsia" w:ascii="宋体" w:hAnsi="宋体"/>
          <w:bCs/>
          <w:color w:val="auto"/>
          <w:szCs w:val="21"/>
          <w:highlight w:val="none"/>
        </w:rPr>
        <w:t>资格性和</w:t>
      </w:r>
      <w:r>
        <w:rPr>
          <w:rFonts w:ascii="宋体" w:hAnsi="宋体"/>
          <w:bCs/>
          <w:color w:val="auto"/>
          <w:szCs w:val="21"/>
          <w:highlight w:val="none"/>
        </w:rPr>
        <w:t>符合性</w:t>
      </w:r>
      <w:r>
        <w:rPr>
          <w:rFonts w:ascii="宋体" w:hAnsi="宋体"/>
          <w:color w:val="auto"/>
          <w:szCs w:val="21"/>
          <w:highlight w:val="none"/>
        </w:rPr>
        <w:t>检查的投标进行商务</w:t>
      </w:r>
      <w:r>
        <w:rPr>
          <w:rFonts w:hint="eastAsia" w:ascii="宋体" w:hAnsi="宋体"/>
          <w:color w:val="auto"/>
          <w:szCs w:val="21"/>
          <w:highlight w:val="none"/>
        </w:rPr>
        <w:t>、</w:t>
      </w:r>
      <w:r>
        <w:rPr>
          <w:rFonts w:ascii="宋体" w:hAnsi="宋体"/>
          <w:color w:val="auto"/>
          <w:szCs w:val="21"/>
          <w:highlight w:val="none"/>
        </w:rPr>
        <w:t>技术</w:t>
      </w:r>
      <w:r>
        <w:rPr>
          <w:rFonts w:hint="eastAsia" w:ascii="宋体" w:hAnsi="宋体"/>
          <w:color w:val="auto"/>
          <w:szCs w:val="21"/>
          <w:highlight w:val="none"/>
        </w:rPr>
        <w:t>及价格</w:t>
      </w:r>
      <w:r>
        <w:rPr>
          <w:rFonts w:ascii="宋体" w:hAnsi="宋体"/>
          <w:color w:val="auto"/>
          <w:szCs w:val="21"/>
          <w:highlight w:val="none"/>
        </w:rPr>
        <w:t>评议。</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Calibri" w:hAnsi="Calibri"/>
          <w:color w:val="auto"/>
          <w:szCs w:val="21"/>
          <w:highlight w:val="none"/>
        </w:rPr>
      </w:pPr>
      <w:r>
        <w:rPr>
          <w:rFonts w:hint="eastAsia" w:ascii="宋体" w:hAnsi="宋体"/>
          <w:color w:val="auto"/>
          <w:szCs w:val="21"/>
          <w:highlight w:val="none"/>
        </w:rPr>
        <w:t>（2）</w:t>
      </w:r>
      <w:r>
        <w:rPr>
          <w:rFonts w:ascii="宋体" w:hAnsi="宋体"/>
          <w:color w:val="auto"/>
          <w:szCs w:val="21"/>
          <w:highlight w:val="none"/>
        </w:rPr>
        <w:t>评</w:t>
      </w:r>
      <w:r>
        <w:rPr>
          <w:rFonts w:ascii="Calibri" w:hAnsi="宋体"/>
          <w:color w:val="auto"/>
          <w:szCs w:val="21"/>
          <w:highlight w:val="none"/>
        </w:rPr>
        <w:t>标委员会将对照招标文件中的商务、技术需求条款和投标文件中的商务、技术条款响应进行评议</w:t>
      </w:r>
      <w:r>
        <w:rPr>
          <w:rFonts w:hint="eastAsia" w:ascii="Calibri" w:hAnsi="宋体"/>
          <w:color w:val="auto"/>
          <w:szCs w:val="21"/>
          <w:highlight w:val="none"/>
        </w:rPr>
        <w:t>；</w:t>
      </w:r>
      <w:r>
        <w:rPr>
          <w:rFonts w:ascii="Calibri" w:hAnsi="宋体"/>
          <w:color w:val="auto"/>
          <w:szCs w:val="21"/>
          <w:highlight w:val="none"/>
        </w:rPr>
        <w:t>评标委员会成员将按照《</w:t>
      </w:r>
      <w:r>
        <w:rPr>
          <w:rFonts w:hint="eastAsia" w:ascii="Calibri" w:hAnsi="宋体"/>
          <w:color w:val="auto"/>
          <w:szCs w:val="21"/>
          <w:highlight w:val="none"/>
        </w:rPr>
        <w:t>评分表</w:t>
      </w:r>
      <w:r>
        <w:rPr>
          <w:rFonts w:ascii="Calibri" w:hAnsi="宋体"/>
          <w:color w:val="auto"/>
          <w:szCs w:val="21"/>
          <w:highlight w:val="none"/>
        </w:rPr>
        <w:t>》确定的</w:t>
      </w:r>
      <w:r>
        <w:rPr>
          <w:rFonts w:hint="eastAsia" w:ascii="Calibri" w:hAnsi="宋体"/>
          <w:color w:val="auto"/>
          <w:szCs w:val="21"/>
          <w:highlight w:val="none"/>
        </w:rPr>
        <w:t>分值</w:t>
      </w:r>
      <w:r>
        <w:rPr>
          <w:rFonts w:ascii="Calibri" w:hAnsi="宋体"/>
          <w:color w:val="auto"/>
          <w:szCs w:val="21"/>
          <w:highlight w:val="none"/>
        </w:rPr>
        <w:t>独立对每个投标的商务</w:t>
      </w:r>
      <w:r>
        <w:rPr>
          <w:rFonts w:hint="eastAsia" w:ascii="Calibri" w:hAnsi="宋体"/>
          <w:color w:val="auto"/>
          <w:szCs w:val="21"/>
          <w:highlight w:val="none"/>
        </w:rPr>
        <w:t>、</w:t>
      </w:r>
      <w:r>
        <w:rPr>
          <w:rFonts w:ascii="Calibri" w:hAnsi="宋体"/>
          <w:color w:val="auto"/>
          <w:szCs w:val="21"/>
          <w:highlight w:val="none"/>
        </w:rPr>
        <w:t>技术</w:t>
      </w:r>
      <w:r>
        <w:rPr>
          <w:rFonts w:hint="eastAsia" w:ascii="Calibri" w:hAnsi="宋体"/>
          <w:color w:val="auto"/>
          <w:szCs w:val="21"/>
          <w:highlight w:val="none"/>
        </w:rPr>
        <w:t>及价格</w:t>
      </w:r>
      <w:r>
        <w:rPr>
          <w:rFonts w:ascii="Calibri" w:hAnsi="宋体"/>
          <w:color w:val="auto"/>
          <w:szCs w:val="21"/>
          <w:highlight w:val="none"/>
        </w:rPr>
        <w:t>部分以打分的方式进行评议。</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Calibri" w:hAnsi="Calibri"/>
          <w:b/>
          <w:color w:val="auto"/>
          <w:szCs w:val="21"/>
          <w:highlight w:val="none"/>
        </w:rPr>
      </w:pPr>
      <w:r>
        <w:rPr>
          <w:rFonts w:hint="eastAsia" w:ascii="宋体" w:hAnsi="宋体"/>
          <w:b/>
          <w:color w:val="auto"/>
          <w:szCs w:val="21"/>
          <w:highlight w:val="none"/>
        </w:rPr>
        <w:t>3、</w:t>
      </w:r>
      <w:r>
        <w:rPr>
          <w:rFonts w:ascii="Calibri" w:hAnsi="宋体"/>
          <w:b/>
          <w:color w:val="auto"/>
          <w:szCs w:val="21"/>
          <w:highlight w:val="none"/>
        </w:rPr>
        <w:t>中标</w:t>
      </w:r>
      <w:r>
        <w:rPr>
          <w:rFonts w:hint="eastAsia" w:ascii="Calibri" w:hAnsi="宋体"/>
          <w:b/>
          <w:color w:val="auto"/>
          <w:szCs w:val="21"/>
          <w:highlight w:val="none"/>
        </w:rPr>
        <w:t>单位</w:t>
      </w:r>
      <w:r>
        <w:rPr>
          <w:rFonts w:ascii="Calibri" w:hAnsi="宋体"/>
          <w:b/>
          <w:color w:val="auto"/>
          <w:szCs w:val="21"/>
          <w:highlight w:val="none"/>
        </w:rPr>
        <w:t>的确定</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b/>
          <w:color w:val="auto"/>
          <w:szCs w:val="21"/>
          <w:highlight w:val="none"/>
        </w:rPr>
      </w:pPr>
      <w:r>
        <w:rPr>
          <w:rFonts w:hint="eastAsia" w:ascii="宋体" w:hAnsi="宋体"/>
          <w:b/>
          <w:color w:val="auto"/>
          <w:szCs w:val="21"/>
          <w:highlight w:val="none"/>
        </w:rPr>
        <w:t xml:space="preserve">3.1  </w:t>
      </w:r>
      <w:r>
        <w:rPr>
          <w:rFonts w:hint="eastAsia" w:ascii="宋体" w:hAnsi="宋体"/>
          <w:b/>
          <w:bCs/>
          <w:color w:val="auto"/>
          <w:szCs w:val="21"/>
          <w:highlight w:val="none"/>
        </w:rPr>
        <w:t>候选中标供应商推荐</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bCs/>
          <w:color w:val="auto"/>
          <w:szCs w:val="21"/>
          <w:highlight w:val="none"/>
        </w:rPr>
      </w:pPr>
      <w:r>
        <w:rPr>
          <w:rFonts w:hint="eastAsia" w:ascii="宋体" w:hAnsi="宋体"/>
          <w:bCs/>
          <w:color w:val="auto"/>
          <w:szCs w:val="21"/>
          <w:highlight w:val="none"/>
        </w:rPr>
        <w:t>（1）每个投标单位的评标总得分以</w:t>
      </w:r>
      <w:r>
        <w:rPr>
          <w:rFonts w:hint="eastAsia" w:ascii="宋体" w:hAnsi="宋体"/>
          <w:color w:val="auto"/>
          <w:szCs w:val="21"/>
          <w:highlight w:val="none"/>
        </w:rPr>
        <w:t>所有评标委员会成员的独立评分汇总</w:t>
      </w:r>
      <w:r>
        <w:rPr>
          <w:rFonts w:hint="eastAsia" w:ascii="宋体" w:hAnsi="宋体"/>
          <w:bCs/>
          <w:color w:val="auto"/>
          <w:szCs w:val="21"/>
          <w:highlight w:val="none"/>
        </w:rPr>
        <w:t>后确定，</w:t>
      </w:r>
      <w:r>
        <w:rPr>
          <w:rFonts w:ascii="宋体" w:hAnsi="宋体"/>
          <w:bCs/>
          <w:color w:val="auto"/>
          <w:szCs w:val="21"/>
          <w:highlight w:val="none"/>
        </w:rPr>
        <w:t>评标总得分相同的，按投标报价由低到高顺序排列；评标总得分且投标报价相同的，按技术指标</w:t>
      </w:r>
      <w:r>
        <w:rPr>
          <w:rFonts w:hint="eastAsia" w:ascii="宋体" w:hAnsi="宋体"/>
          <w:bCs/>
          <w:color w:val="auto"/>
          <w:szCs w:val="21"/>
          <w:highlight w:val="none"/>
        </w:rPr>
        <w:t>（技术部分）</w:t>
      </w:r>
      <w:r>
        <w:rPr>
          <w:rFonts w:ascii="宋体" w:hAnsi="宋体"/>
          <w:bCs/>
          <w:color w:val="auto"/>
          <w:szCs w:val="21"/>
          <w:highlight w:val="none"/>
        </w:rPr>
        <w:t>得分优劣顺序排列</w:t>
      </w:r>
      <w:r>
        <w:rPr>
          <w:rFonts w:hint="eastAsia" w:ascii="Calibri" w:hAnsi="宋体"/>
          <w:color w:val="auto"/>
          <w:szCs w:val="21"/>
          <w:highlight w:val="none"/>
        </w:rPr>
        <w:t>；如</w:t>
      </w:r>
      <w:r>
        <w:rPr>
          <w:rFonts w:ascii="Calibri" w:hAnsi="宋体"/>
          <w:color w:val="auto"/>
          <w:szCs w:val="21"/>
          <w:highlight w:val="none"/>
        </w:rPr>
        <w:t>技术指标</w:t>
      </w:r>
      <w:r>
        <w:rPr>
          <w:rFonts w:hint="eastAsia" w:ascii="Calibri" w:hAnsi="宋体"/>
          <w:color w:val="auto"/>
          <w:szCs w:val="21"/>
          <w:highlight w:val="none"/>
        </w:rPr>
        <w:t>（技术部分）</w:t>
      </w:r>
      <w:r>
        <w:rPr>
          <w:rFonts w:ascii="Calibri" w:hAnsi="宋体"/>
          <w:color w:val="auto"/>
          <w:szCs w:val="21"/>
          <w:highlight w:val="none"/>
        </w:rPr>
        <w:t>得分</w:t>
      </w:r>
      <w:r>
        <w:rPr>
          <w:rFonts w:hint="eastAsia" w:ascii="Calibri" w:hAnsi="宋体"/>
          <w:color w:val="auto"/>
          <w:szCs w:val="21"/>
          <w:highlight w:val="none"/>
        </w:rPr>
        <w:t>仍然相同的，则采用抽签方式确定排序，</w:t>
      </w:r>
      <w:r>
        <w:rPr>
          <w:rFonts w:hint="eastAsia" w:asciiTheme="minorEastAsia" w:hAnsiTheme="minorEastAsia" w:eastAsiaTheme="minorEastAsia"/>
          <w:color w:val="auto"/>
          <w:szCs w:val="21"/>
          <w:highlight w:val="none"/>
        </w:rPr>
        <w:t>具体操作办法及流程由评标委员会确定</w:t>
      </w:r>
      <w:r>
        <w:rPr>
          <w:rFonts w:ascii="宋体" w:hAnsi="宋体"/>
          <w:bCs/>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color w:val="auto"/>
          <w:szCs w:val="21"/>
          <w:highlight w:val="none"/>
        </w:rPr>
      </w:pPr>
      <w:r>
        <w:rPr>
          <w:rFonts w:hint="eastAsia" w:ascii="宋体" w:hAnsi="宋体"/>
          <w:bCs/>
          <w:color w:val="auto"/>
          <w:szCs w:val="21"/>
          <w:highlight w:val="none"/>
        </w:rPr>
        <w:t>（2）评标委员会按照综合评分的排名结果推荐中标候选供应商，</w:t>
      </w:r>
      <w:r>
        <w:rPr>
          <w:rFonts w:hint="eastAsia" w:ascii="宋体" w:hAnsi="宋体"/>
          <w:color w:val="auto"/>
          <w:szCs w:val="21"/>
          <w:highlight w:val="none"/>
        </w:rPr>
        <w:t>排名前三的投标单位</w:t>
      </w:r>
      <w:r>
        <w:rPr>
          <w:rFonts w:hint="eastAsia" w:ascii="宋体" w:hAnsi="宋体"/>
          <w:bCs/>
          <w:color w:val="auto"/>
          <w:szCs w:val="21"/>
          <w:highlight w:val="none"/>
        </w:rPr>
        <w:t>作为推荐的候选中标供应商。</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b/>
          <w:bCs/>
          <w:color w:val="auto"/>
          <w:szCs w:val="21"/>
          <w:highlight w:val="none"/>
        </w:rPr>
      </w:pPr>
      <w:r>
        <w:rPr>
          <w:rFonts w:hint="eastAsia" w:ascii="宋体" w:hAnsi="宋体"/>
          <w:b/>
          <w:bCs/>
          <w:color w:val="auto"/>
          <w:szCs w:val="21"/>
          <w:highlight w:val="none"/>
        </w:rPr>
        <w:t>3.2  定标</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Calibri" w:hAnsi="Calibri"/>
          <w:color w:val="auto"/>
          <w:szCs w:val="21"/>
          <w:highlight w:val="none"/>
        </w:rPr>
      </w:pPr>
      <w:r>
        <w:rPr>
          <w:rFonts w:hint="eastAsia" w:ascii="宋体" w:hAnsi="宋体"/>
          <w:bCs/>
          <w:color w:val="auto"/>
          <w:szCs w:val="21"/>
          <w:highlight w:val="none"/>
        </w:rPr>
        <w:t>采购方授权评标委员会确定中标单位，确定评标总得分最高且</w:t>
      </w:r>
      <w:r>
        <w:rPr>
          <w:rFonts w:ascii="宋体" w:hAnsi="宋体"/>
          <w:bCs/>
          <w:color w:val="auto"/>
          <w:szCs w:val="21"/>
          <w:highlight w:val="none"/>
        </w:rPr>
        <w:t>排名第一</w:t>
      </w:r>
      <w:r>
        <w:rPr>
          <w:rFonts w:hint="eastAsia" w:ascii="宋体" w:hAnsi="宋体"/>
          <w:bCs/>
          <w:color w:val="auto"/>
          <w:szCs w:val="21"/>
          <w:highlight w:val="none"/>
        </w:rPr>
        <w:t>的投标人为中标单位。</w:t>
      </w:r>
    </w:p>
    <w:p>
      <w:pPr>
        <w:pStyle w:val="8"/>
        <w:keepNext w:val="0"/>
        <w:keepLines w:val="0"/>
        <w:pageBreakBefore w:val="0"/>
        <w:widowControl w:val="0"/>
        <w:numPr>
          <w:ilvl w:val="0"/>
          <w:numId w:val="7"/>
        </w:numPr>
        <w:kinsoku/>
        <w:wordWrap/>
        <w:overflowPunct/>
        <w:topLinePunct w:val="0"/>
        <w:autoSpaceDE/>
        <w:autoSpaceDN/>
        <w:bidi w:val="0"/>
        <w:adjustRightInd/>
        <w:snapToGrid/>
        <w:spacing w:line="440" w:lineRule="exact"/>
        <w:ind w:firstLineChars="0"/>
        <w:textAlignment w:val="auto"/>
        <w:rPr>
          <w:rFonts w:ascii="宋体" w:hAnsi="宋体"/>
          <w:b/>
          <w:color w:val="auto"/>
          <w:szCs w:val="21"/>
          <w:highlight w:val="none"/>
        </w:rPr>
      </w:pPr>
      <w:r>
        <w:rPr>
          <w:b/>
          <w:color w:val="auto"/>
          <w:szCs w:val="21"/>
          <w:highlight w:val="none"/>
        </w:rPr>
        <w:t>最低价法</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b/>
          <w:color w:val="auto"/>
          <w:szCs w:val="21"/>
          <w:highlight w:val="none"/>
        </w:rPr>
      </w:pPr>
      <w:r>
        <w:rPr>
          <w:rFonts w:hint="eastAsia" w:ascii="宋体" w:hAnsi="宋体"/>
          <w:b/>
          <w:color w:val="auto"/>
          <w:szCs w:val="21"/>
          <w:highlight w:val="none"/>
        </w:rPr>
        <w:t>1、</w:t>
      </w:r>
      <w:r>
        <w:rPr>
          <w:rFonts w:ascii="宋体" w:hAnsi="宋体"/>
          <w:b/>
          <w:color w:val="auto"/>
          <w:szCs w:val="21"/>
          <w:highlight w:val="none"/>
        </w:rPr>
        <w:t>符合性检查</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bCs/>
          <w:color w:val="auto"/>
          <w:szCs w:val="21"/>
          <w:highlight w:val="none"/>
        </w:rPr>
      </w:pPr>
      <w:r>
        <w:rPr>
          <w:rFonts w:hint="eastAsia" w:ascii="宋体" w:hAnsi="宋体"/>
          <w:bCs/>
          <w:color w:val="auto"/>
          <w:szCs w:val="21"/>
          <w:highlight w:val="none"/>
        </w:rPr>
        <w:t>（1）</w:t>
      </w:r>
      <w:r>
        <w:rPr>
          <w:rFonts w:ascii="宋体" w:hAnsi="宋体"/>
          <w:bCs/>
          <w:color w:val="auto"/>
          <w:szCs w:val="21"/>
          <w:highlight w:val="none"/>
        </w:rPr>
        <w:t>评标委员会根据</w:t>
      </w:r>
      <w:r>
        <w:rPr>
          <w:rFonts w:hint="eastAsia" w:ascii="宋体" w:hAnsi="宋体"/>
          <w:bCs/>
          <w:color w:val="auto"/>
          <w:szCs w:val="21"/>
          <w:highlight w:val="none"/>
        </w:rPr>
        <w:t>《</w:t>
      </w:r>
      <w:r>
        <w:rPr>
          <w:rFonts w:ascii="宋体" w:hAnsi="宋体"/>
          <w:bCs/>
          <w:color w:val="auto"/>
          <w:szCs w:val="21"/>
          <w:highlight w:val="none"/>
        </w:rPr>
        <w:t>符合性检查表》的内容和标准，对所有</w:t>
      </w:r>
      <w:r>
        <w:rPr>
          <w:rFonts w:hint="eastAsia" w:ascii="宋体" w:hAnsi="宋体"/>
          <w:bCs/>
          <w:color w:val="auto"/>
          <w:szCs w:val="21"/>
          <w:highlight w:val="none"/>
        </w:rPr>
        <w:t>通过资格性核查的</w:t>
      </w:r>
      <w:r>
        <w:rPr>
          <w:rFonts w:ascii="宋体" w:hAnsi="宋体"/>
          <w:bCs/>
          <w:color w:val="auto"/>
          <w:szCs w:val="21"/>
          <w:highlight w:val="none"/>
        </w:rPr>
        <w:t>投标</w:t>
      </w:r>
      <w:r>
        <w:rPr>
          <w:rFonts w:hint="eastAsia" w:ascii="宋体" w:hAnsi="宋体"/>
          <w:bCs/>
          <w:color w:val="auto"/>
          <w:szCs w:val="21"/>
          <w:highlight w:val="none"/>
        </w:rPr>
        <w:t>文件</w:t>
      </w:r>
      <w:r>
        <w:rPr>
          <w:rFonts w:ascii="宋体" w:hAnsi="宋体"/>
          <w:bCs/>
          <w:color w:val="auto"/>
          <w:szCs w:val="21"/>
          <w:highlight w:val="none"/>
        </w:rPr>
        <w:t>进行</w:t>
      </w:r>
      <w:r>
        <w:rPr>
          <w:rFonts w:hint="eastAsia" w:ascii="宋体" w:hAnsi="宋体"/>
          <w:bCs/>
          <w:color w:val="auto"/>
          <w:szCs w:val="21"/>
          <w:highlight w:val="none"/>
        </w:rPr>
        <w:t>审</w:t>
      </w:r>
      <w:r>
        <w:rPr>
          <w:rFonts w:ascii="宋体" w:hAnsi="宋体"/>
          <w:bCs/>
          <w:color w:val="auto"/>
          <w:szCs w:val="21"/>
          <w:highlight w:val="none"/>
        </w:rPr>
        <w:t>查。</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bCs/>
          <w:color w:val="auto"/>
          <w:szCs w:val="21"/>
          <w:highlight w:val="none"/>
        </w:rPr>
      </w:pPr>
      <w:r>
        <w:rPr>
          <w:rFonts w:hint="eastAsia" w:ascii="宋体" w:hAnsi="宋体"/>
          <w:bCs/>
          <w:color w:val="auto"/>
          <w:szCs w:val="21"/>
          <w:highlight w:val="none"/>
        </w:rPr>
        <w:t>（2）</w:t>
      </w:r>
      <w:r>
        <w:rPr>
          <w:rFonts w:ascii="宋体" w:hAnsi="宋体"/>
          <w:bCs/>
          <w:color w:val="auto"/>
          <w:szCs w:val="21"/>
          <w:highlight w:val="none"/>
        </w:rPr>
        <w:t>符合性检查的对象是投标人提交的投标文件，评标委员会只就投标文件中所载明的情况进行</w:t>
      </w:r>
      <w:r>
        <w:rPr>
          <w:rFonts w:hint="eastAsia" w:ascii="宋体" w:hAnsi="宋体"/>
          <w:bCs/>
          <w:color w:val="auto"/>
          <w:szCs w:val="21"/>
          <w:highlight w:val="none"/>
        </w:rPr>
        <w:t>审</w:t>
      </w:r>
      <w:r>
        <w:rPr>
          <w:rFonts w:ascii="宋体" w:hAnsi="宋体"/>
          <w:bCs/>
          <w:color w:val="auto"/>
          <w:szCs w:val="21"/>
          <w:highlight w:val="none"/>
        </w:rPr>
        <w:t>查。</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Calibri" w:hAnsi="Calibri"/>
          <w:color w:val="auto"/>
          <w:szCs w:val="21"/>
          <w:highlight w:val="none"/>
        </w:rPr>
      </w:pPr>
      <w:r>
        <w:rPr>
          <w:rFonts w:hint="eastAsia" w:ascii="宋体" w:hAnsi="宋体"/>
          <w:bCs/>
          <w:color w:val="auto"/>
          <w:szCs w:val="21"/>
          <w:highlight w:val="none"/>
        </w:rPr>
        <w:t>（3）</w:t>
      </w:r>
      <w:r>
        <w:rPr>
          <w:rFonts w:ascii="宋体" w:hAnsi="宋体"/>
          <w:bCs/>
          <w:color w:val="auto"/>
          <w:szCs w:val="21"/>
          <w:highlight w:val="none"/>
        </w:rPr>
        <w:t>符</w:t>
      </w:r>
      <w:r>
        <w:rPr>
          <w:rFonts w:ascii="Calibri" w:hAnsi="宋体"/>
          <w:color w:val="auto"/>
          <w:szCs w:val="21"/>
          <w:highlight w:val="none"/>
        </w:rPr>
        <w:t>合性检查的结果是</w:t>
      </w:r>
      <w:r>
        <w:rPr>
          <w:rFonts w:ascii="Calibri" w:hAnsi="Calibri"/>
          <w:color w:val="auto"/>
          <w:szCs w:val="21"/>
          <w:highlight w:val="none"/>
        </w:rPr>
        <w:t>“</w:t>
      </w:r>
      <w:r>
        <w:rPr>
          <w:rFonts w:ascii="Calibri" w:hAnsi="宋体"/>
          <w:color w:val="auto"/>
          <w:szCs w:val="21"/>
          <w:highlight w:val="none"/>
        </w:rPr>
        <w:t>通过</w:t>
      </w:r>
      <w:r>
        <w:rPr>
          <w:rFonts w:ascii="Calibri" w:hAnsi="Calibri"/>
          <w:color w:val="auto"/>
          <w:szCs w:val="21"/>
          <w:highlight w:val="none"/>
        </w:rPr>
        <w:t>”</w:t>
      </w:r>
      <w:r>
        <w:rPr>
          <w:rFonts w:ascii="Calibri" w:hAnsi="宋体"/>
          <w:color w:val="auto"/>
          <w:szCs w:val="21"/>
          <w:highlight w:val="none"/>
        </w:rPr>
        <w:t>或</w:t>
      </w:r>
      <w:r>
        <w:rPr>
          <w:rFonts w:ascii="Calibri" w:hAnsi="Calibri"/>
          <w:color w:val="auto"/>
          <w:szCs w:val="21"/>
          <w:highlight w:val="none"/>
        </w:rPr>
        <w:t>“</w:t>
      </w:r>
      <w:r>
        <w:rPr>
          <w:rFonts w:ascii="Calibri" w:hAnsi="宋体"/>
          <w:color w:val="auto"/>
          <w:szCs w:val="21"/>
          <w:highlight w:val="none"/>
        </w:rPr>
        <w:t>不通过</w:t>
      </w:r>
      <w:r>
        <w:rPr>
          <w:rFonts w:ascii="Calibri" w:hAnsi="Calibri"/>
          <w:color w:val="auto"/>
          <w:szCs w:val="21"/>
          <w:highlight w:val="none"/>
        </w:rPr>
        <w:t>”</w:t>
      </w:r>
      <w:r>
        <w:rPr>
          <w:rFonts w:ascii="Calibri" w:hAnsi="宋体"/>
          <w:color w:val="auto"/>
          <w:szCs w:val="21"/>
          <w:highlight w:val="none"/>
        </w:rPr>
        <w:t>，只有逐条通过</w:t>
      </w:r>
      <w:r>
        <w:rPr>
          <w:rFonts w:ascii="宋体" w:hAnsi="宋体"/>
          <w:bCs/>
          <w:color w:val="auto"/>
          <w:szCs w:val="21"/>
          <w:highlight w:val="none"/>
        </w:rPr>
        <w:t>《符合性检查表》</w:t>
      </w:r>
      <w:r>
        <w:rPr>
          <w:rFonts w:ascii="Calibri" w:hAnsi="宋体"/>
          <w:color w:val="auto"/>
          <w:szCs w:val="21"/>
          <w:highlight w:val="none"/>
        </w:rPr>
        <w:t>各项检查的投标方能进入下一阶段的评标，否则将导致其投标被废标。</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Calibri" w:hAnsi="Calibri"/>
          <w:b/>
          <w:color w:val="auto"/>
          <w:szCs w:val="21"/>
          <w:highlight w:val="none"/>
        </w:rPr>
      </w:pPr>
      <w:r>
        <w:rPr>
          <w:rFonts w:hint="eastAsia" w:ascii="宋体" w:hAnsi="宋体"/>
          <w:b/>
          <w:color w:val="auto"/>
          <w:szCs w:val="21"/>
          <w:highlight w:val="none"/>
        </w:rPr>
        <w:t>2、</w:t>
      </w:r>
      <w:r>
        <w:rPr>
          <w:rFonts w:ascii="Calibri" w:hAnsi="宋体"/>
          <w:b/>
          <w:color w:val="auto"/>
          <w:szCs w:val="21"/>
          <w:highlight w:val="none"/>
        </w:rPr>
        <w:t>中标</w:t>
      </w:r>
      <w:r>
        <w:rPr>
          <w:rFonts w:hint="eastAsia" w:ascii="Calibri" w:hAnsi="宋体"/>
          <w:b/>
          <w:color w:val="auto"/>
          <w:szCs w:val="21"/>
          <w:highlight w:val="none"/>
        </w:rPr>
        <w:t>单位</w:t>
      </w:r>
      <w:r>
        <w:rPr>
          <w:rFonts w:ascii="Calibri" w:hAnsi="宋体"/>
          <w:b/>
          <w:color w:val="auto"/>
          <w:szCs w:val="21"/>
          <w:highlight w:val="none"/>
        </w:rPr>
        <w:t>的确定</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b/>
          <w:color w:val="auto"/>
          <w:szCs w:val="21"/>
          <w:highlight w:val="none"/>
        </w:rPr>
      </w:pPr>
      <w:r>
        <w:rPr>
          <w:rFonts w:ascii="宋体" w:hAnsi="宋体"/>
          <w:b/>
          <w:color w:val="auto"/>
          <w:szCs w:val="21"/>
          <w:highlight w:val="none"/>
        </w:rPr>
        <w:t>2</w:t>
      </w:r>
      <w:r>
        <w:rPr>
          <w:rFonts w:hint="eastAsia" w:ascii="宋体" w:hAnsi="宋体"/>
          <w:b/>
          <w:color w:val="auto"/>
          <w:szCs w:val="21"/>
          <w:highlight w:val="none"/>
        </w:rPr>
        <w:t xml:space="preserve">.1  </w:t>
      </w:r>
      <w:r>
        <w:rPr>
          <w:rFonts w:hint="eastAsia" w:ascii="宋体" w:hAnsi="宋体"/>
          <w:b/>
          <w:bCs/>
          <w:color w:val="auto"/>
          <w:szCs w:val="21"/>
          <w:highlight w:val="none"/>
        </w:rPr>
        <w:t>候选中标供应商推荐</w:t>
      </w:r>
    </w:p>
    <w:p>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ascii="宋体" w:hAnsi="宋体"/>
          <w:b w:val="0"/>
          <w:bCs w:val="0"/>
          <w:color w:val="auto"/>
          <w:szCs w:val="21"/>
          <w:highlight w:val="none"/>
        </w:rPr>
      </w:pPr>
      <w:r>
        <w:rPr>
          <w:rFonts w:hint="eastAsia" w:ascii="宋体" w:hAnsi="宋体"/>
          <w:color w:val="auto"/>
          <w:szCs w:val="21"/>
          <w:highlight w:val="none"/>
        </w:rPr>
        <w:t>（1）</w:t>
      </w:r>
      <w:r>
        <w:rPr>
          <w:rFonts w:ascii="宋体" w:hAnsi="宋体"/>
          <w:color w:val="auto"/>
          <w:szCs w:val="21"/>
          <w:highlight w:val="none"/>
        </w:rPr>
        <w:t>评标委员会对通过上述检查且最终报价不超过预算控制金额</w:t>
      </w:r>
      <w:r>
        <w:rPr>
          <w:rFonts w:hint="eastAsia" w:ascii="宋体" w:hAnsi="宋体"/>
          <w:color w:val="auto"/>
          <w:szCs w:val="21"/>
          <w:highlight w:val="none"/>
        </w:rPr>
        <w:t>的投标单位进行审查，并</w:t>
      </w:r>
      <w:r>
        <w:rPr>
          <w:rFonts w:ascii="Calibri" w:hAnsi="宋体"/>
          <w:color w:val="auto"/>
          <w:szCs w:val="21"/>
          <w:highlight w:val="none"/>
        </w:rPr>
        <w:t>按投标报价由低到高</w:t>
      </w:r>
      <w:r>
        <w:rPr>
          <w:rFonts w:hint="eastAsia" w:ascii="Calibri" w:hAnsi="宋体"/>
          <w:color w:val="auto"/>
          <w:szCs w:val="21"/>
          <w:highlight w:val="none"/>
        </w:rPr>
        <w:t>排序；</w:t>
      </w:r>
      <w:r>
        <w:rPr>
          <w:rFonts w:ascii="Calibri" w:hAnsi="宋体"/>
          <w:color w:val="auto"/>
          <w:szCs w:val="21"/>
          <w:highlight w:val="none"/>
        </w:rPr>
        <w:t>投标报价相同的，按技术指标优劣顺序排列</w:t>
      </w:r>
      <w:r>
        <w:rPr>
          <w:rFonts w:hint="eastAsia" w:ascii="Calibri" w:hAnsi="宋体"/>
          <w:color w:val="auto"/>
          <w:szCs w:val="21"/>
          <w:highlight w:val="none"/>
        </w:rPr>
        <w:t>；技术指标仍然相同的，则采用抽签方式确定排序，</w:t>
      </w:r>
      <w:r>
        <w:rPr>
          <w:rFonts w:hint="eastAsia" w:asciiTheme="minorEastAsia" w:hAnsiTheme="minorEastAsia" w:eastAsiaTheme="minorEastAsia"/>
          <w:color w:val="auto"/>
          <w:szCs w:val="21"/>
          <w:highlight w:val="none"/>
        </w:rPr>
        <w:t>具体操作办法及流程由评标委员会确定</w:t>
      </w:r>
      <w:r>
        <w:rPr>
          <w:rFonts w:ascii="Calibri" w:hAnsi="宋体"/>
          <w:b w:val="0"/>
          <w:bCs w:val="0"/>
          <w:color w:val="auto"/>
          <w:szCs w:val="21"/>
          <w:highlight w:val="none"/>
        </w:rPr>
        <w:t>。</w:t>
      </w:r>
      <w:r>
        <w:rPr>
          <w:rFonts w:hint="eastAsia" w:ascii="宋体" w:hAnsi="宋体"/>
          <w:b w:val="0"/>
          <w:bCs w:val="0"/>
          <w:color w:val="auto"/>
          <w:szCs w:val="21"/>
          <w:highlight w:val="none"/>
        </w:rPr>
        <w:t>投标人在参与政府采购活动中存在诚信相关问题且在主管部门相关处理措施实施期限内的，在该企业投标报价的基础上上浮10%后参与价格评比。投标人无需提供任何证明材料，由本项目评审委员会在评标时通过深圳市政府采购网系统查询。</w:t>
      </w:r>
    </w:p>
    <w:p>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ascii="宋体" w:hAnsi="宋体"/>
          <w:b/>
          <w:bCs/>
          <w:color w:val="auto"/>
          <w:szCs w:val="21"/>
          <w:highlight w:val="none"/>
        </w:rPr>
      </w:pPr>
      <w:r>
        <w:rPr>
          <w:rFonts w:hint="eastAsia" w:ascii="宋体" w:hAnsi="宋体"/>
          <w:bCs/>
          <w:color w:val="auto"/>
          <w:szCs w:val="21"/>
          <w:highlight w:val="none"/>
        </w:rPr>
        <w:t>（2）评标委员会按照上述投标</w:t>
      </w:r>
      <w:r>
        <w:rPr>
          <w:rFonts w:ascii="宋体" w:hAnsi="宋体"/>
          <w:bCs/>
          <w:color w:val="auto"/>
          <w:szCs w:val="21"/>
          <w:highlight w:val="none"/>
        </w:rPr>
        <w:t>报价的</w:t>
      </w:r>
      <w:r>
        <w:rPr>
          <w:rFonts w:hint="eastAsia" w:ascii="宋体" w:hAnsi="宋体"/>
          <w:bCs/>
          <w:color w:val="auto"/>
          <w:szCs w:val="21"/>
          <w:highlight w:val="none"/>
        </w:rPr>
        <w:t>排序结果推荐中标候选供应商，</w:t>
      </w:r>
      <w:r>
        <w:rPr>
          <w:rFonts w:hint="eastAsia" w:ascii="宋体" w:hAnsi="宋体"/>
          <w:color w:val="auto"/>
          <w:szCs w:val="21"/>
          <w:highlight w:val="none"/>
        </w:rPr>
        <w:t>排名前三的投标单位</w:t>
      </w:r>
      <w:r>
        <w:rPr>
          <w:rFonts w:hint="eastAsia" w:ascii="宋体" w:hAnsi="宋体"/>
          <w:bCs/>
          <w:color w:val="auto"/>
          <w:szCs w:val="21"/>
          <w:highlight w:val="none"/>
        </w:rPr>
        <w:t>作为推荐的候选中标供应商。</w:t>
      </w:r>
    </w:p>
    <w:p>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ascii="宋体" w:hAnsi="宋体"/>
          <w:b/>
          <w:color w:val="auto"/>
          <w:szCs w:val="21"/>
          <w:highlight w:val="none"/>
        </w:rPr>
      </w:pPr>
      <w:r>
        <w:rPr>
          <w:rFonts w:hint="eastAsia" w:ascii="宋体" w:hAnsi="宋体"/>
          <w:b/>
          <w:color w:val="auto"/>
          <w:szCs w:val="21"/>
          <w:highlight w:val="none"/>
        </w:rPr>
        <w:t>2</w:t>
      </w:r>
      <w:r>
        <w:rPr>
          <w:rFonts w:ascii="宋体" w:hAnsi="宋体"/>
          <w:b/>
          <w:color w:val="auto"/>
          <w:szCs w:val="21"/>
          <w:highlight w:val="none"/>
        </w:rPr>
        <w:t xml:space="preserve">.2  </w:t>
      </w:r>
      <w:r>
        <w:rPr>
          <w:rFonts w:hint="eastAsia" w:ascii="宋体" w:hAnsi="宋体"/>
          <w:b/>
          <w:color w:val="auto"/>
          <w:szCs w:val="21"/>
          <w:highlight w:val="none"/>
        </w:rPr>
        <w:t>定标</w:t>
      </w:r>
    </w:p>
    <w:p>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ascii="宋体" w:hAnsi="宋体"/>
          <w:color w:val="auto"/>
          <w:szCs w:val="21"/>
          <w:highlight w:val="none"/>
        </w:rPr>
      </w:pPr>
      <w:r>
        <w:rPr>
          <w:rFonts w:ascii="宋体" w:hAnsi="宋体"/>
          <w:color w:val="auto"/>
          <w:szCs w:val="21"/>
          <w:highlight w:val="none"/>
        </w:rPr>
        <w:t>采购方授权评标委员会确定中标单位，</w:t>
      </w:r>
      <w:r>
        <w:rPr>
          <w:rFonts w:hint="eastAsia" w:ascii="宋体" w:hAnsi="宋体"/>
          <w:color w:val="auto"/>
          <w:szCs w:val="21"/>
          <w:highlight w:val="none"/>
        </w:rPr>
        <w:t>确定</w:t>
      </w:r>
      <w:r>
        <w:rPr>
          <w:rFonts w:ascii="宋体" w:hAnsi="宋体"/>
          <w:color w:val="auto"/>
          <w:szCs w:val="21"/>
          <w:highlight w:val="none"/>
        </w:rPr>
        <w:t>投标</w:t>
      </w:r>
      <w:r>
        <w:rPr>
          <w:rFonts w:hint="eastAsia" w:ascii="宋体" w:hAnsi="宋体"/>
          <w:color w:val="auto"/>
          <w:szCs w:val="21"/>
          <w:highlight w:val="none"/>
        </w:rPr>
        <w:t>报价</w:t>
      </w:r>
      <w:r>
        <w:rPr>
          <w:rFonts w:ascii="宋体" w:hAnsi="宋体"/>
          <w:color w:val="auto"/>
          <w:szCs w:val="21"/>
          <w:highlight w:val="none"/>
        </w:rPr>
        <w:t>最低</w:t>
      </w:r>
      <w:r>
        <w:rPr>
          <w:rFonts w:hint="eastAsia" w:ascii="宋体" w:hAnsi="宋体"/>
          <w:color w:val="auto"/>
          <w:szCs w:val="21"/>
          <w:highlight w:val="none"/>
        </w:rPr>
        <w:t>且</w:t>
      </w:r>
      <w:r>
        <w:rPr>
          <w:rFonts w:ascii="宋体" w:hAnsi="宋体"/>
          <w:color w:val="auto"/>
          <w:szCs w:val="21"/>
          <w:highlight w:val="none"/>
        </w:rPr>
        <w:t>排名第一的投标供应商为中标</w:t>
      </w:r>
      <w:r>
        <w:rPr>
          <w:rFonts w:hint="eastAsia" w:ascii="宋体" w:hAnsi="宋体"/>
          <w:color w:val="auto"/>
          <w:szCs w:val="21"/>
          <w:highlight w:val="none"/>
        </w:rPr>
        <w:t>单位。</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b/>
          <w:color w:val="auto"/>
          <w:highlight w:val="none"/>
        </w:rPr>
      </w:pPr>
      <w:r>
        <w:rPr>
          <w:rFonts w:hint="eastAsia"/>
          <w:b/>
          <w:color w:val="auto"/>
          <w:highlight w:val="none"/>
        </w:rPr>
        <w:t>（二）评标和定标分离的方式</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b/>
          <w:color w:val="auto"/>
          <w:szCs w:val="21"/>
          <w:highlight w:val="none"/>
        </w:rPr>
      </w:pPr>
      <w:r>
        <w:rPr>
          <w:rFonts w:hint="eastAsia" w:ascii="宋体" w:hAnsi="宋体"/>
          <w:b/>
          <w:color w:val="auto"/>
          <w:szCs w:val="21"/>
          <w:highlight w:val="none"/>
        </w:rPr>
        <w:t>1、</w:t>
      </w:r>
      <w:r>
        <w:rPr>
          <w:rFonts w:ascii="宋体" w:hAnsi="宋体"/>
          <w:b/>
          <w:color w:val="auto"/>
          <w:szCs w:val="21"/>
          <w:highlight w:val="none"/>
        </w:rPr>
        <w:t>符合性检查</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bCs/>
          <w:color w:val="auto"/>
          <w:szCs w:val="21"/>
          <w:highlight w:val="none"/>
        </w:rPr>
      </w:pPr>
      <w:r>
        <w:rPr>
          <w:rFonts w:hint="eastAsia" w:ascii="宋体" w:hAnsi="宋体"/>
          <w:bCs/>
          <w:color w:val="auto"/>
          <w:szCs w:val="21"/>
          <w:highlight w:val="none"/>
        </w:rPr>
        <w:t>（1）</w:t>
      </w:r>
      <w:r>
        <w:rPr>
          <w:rFonts w:ascii="宋体" w:hAnsi="宋体"/>
          <w:bCs/>
          <w:color w:val="auto"/>
          <w:szCs w:val="21"/>
          <w:highlight w:val="none"/>
        </w:rPr>
        <w:t>评标委员会根据</w:t>
      </w:r>
      <w:r>
        <w:rPr>
          <w:rFonts w:hint="eastAsia" w:ascii="宋体" w:hAnsi="宋体"/>
          <w:bCs/>
          <w:color w:val="auto"/>
          <w:szCs w:val="21"/>
          <w:highlight w:val="none"/>
        </w:rPr>
        <w:t>《</w:t>
      </w:r>
      <w:r>
        <w:rPr>
          <w:rFonts w:ascii="宋体" w:hAnsi="宋体"/>
          <w:bCs/>
          <w:color w:val="auto"/>
          <w:szCs w:val="21"/>
          <w:highlight w:val="none"/>
        </w:rPr>
        <w:t>符合性检查表》的内容和标准，对所有</w:t>
      </w:r>
      <w:r>
        <w:rPr>
          <w:rFonts w:hint="eastAsia" w:ascii="宋体" w:hAnsi="宋体"/>
          <w:bCs/>
          <w:color w:val="auto"/>
          <w:szCs w:val="21"/>
          <w:highlight w:val="none"/>
        </w:rPr>
        <w:t>通过资格性核查的</w:t>
      </w:r>
      <w:r>
        <w:rPr>
          <w:rFonts w:ascii="宋体" w:hAnsi="宋体"/>
          <w:bCs/>
          <w:color w:val="auto"/>
          <w:szCs w:val="21"/>
          <w:highlight w:val="none"/>
        </w:rPr>
        <w:t>投标</w:t>
      </w:r>
      <w:r>
        <w:rPr>
          <w:rFonts w:hint="eastAsia" w:ascii="宋体" w:hAnsi="宋体"/>
          <w:bCs/>
          <w:color w:val="auto"/>
          <w:szCs w:val="21"/>
          <w:highlight w:val="none"/>
        </w:rPr>
        <w:t>文件</w:t>
      </w:r>
      <w:r>
        <w:rPr>
          <w:rFonts w:ascii="宋体" w:hAnsi="宋体"/>
          <w:bCs/>
          <w:color w:val="auto"/>
          <w:szCs w:val="21"/>
          <w:highlight w:val="none"/>
        </w:rPr>
        <w:t>进行</w:t>
      </w:r>
      <w:r>
        <w:rPr>
          <w:rFonts w:hint="eastAsia" w:ascii="宋体" w:hAnsi="宋体"/>
          <w:bCs/>
          <w:color w:val="auto"/>
          <w:szCs w:val="21"/>
          <w:highlight w:val="none"/>
        </w:rPr>
        <w:t>审</w:t>
      </w:r>
      <w:r>
        <w:rPr>
          <w:rFonts w:ascii="宋体" w:hAnsi="宋体"/>
          <w:bCs/>
          <w:color w:val="auto"/>
          <w:szCs w:val="21"/>
          <w:highlight w:val="none"/>
        </w:rPr>
        <w:t>查。</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bCs/>
          <w:color w:val="auto"/>
          <w:szCs w:val="21"/>
          <w:highlight w:val="none"/>
        </w:rPr>
      </w:pPr>
      <w:r>
        <w:rPr>
          <w:rFonts w:hint="eastAsia" w:ascii="宋体" w:hAnsi="宋体"/>
          <w:bCs/>
          <w:color w:val="auto"/>
          <w:szCs w:val="21"/>
          <w:highlight w:val="none"/>
        </w:rPr>
        <w:t>（2）</w:t>
      </w:r>
      <w:r>
        <w:rPr>
          <w:rFonts w:ascii="宋体" w:hAnsi="宋体"/>
          <w:bCs/>
          <w:color w:val="auto"/>
          <w:szCs w:val="21"/>
          <w:highlight w:val="none"/>
        </w:rPr>
        <w:t>符合性检查的对象是投标人提交的投标文件，评标委员会只就投标文件中所载明的情况进行</w:t>
      </w:r>
      <w:r>
        <w:rPr>
          <w:rFonts w:hint="eastAsia" w:ascii="宋体" w:hAnsi="宋体"/>
          <w:bCs/>
          <w:color w:val="auto"/>
          <w:szCs w:val="21"/>
          <w:highlight w:val="none"/>
        </w:rPr>
        <w:t>审</w:t>
      </w:r>
      <w:r>
        <w:rPr>
          <w:rFonts w:ascii="宋体" w:hAnsi="宋体"/>
          <w:bCs/>
          <w:color w:val="auto"/>
          <w:szCs w:val="21"/>
          <w:highlight w:val="none"/>
        </w:rPr>
        <w:t>查。</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Calibri" w:hAnsi="Calibri"/>
          <w:color w:val="auto"/>
          <w:szCs w:val="21"/>
          <w:highlight w:val="none"/>
        </w:rPr>
      </w:pPr>
      <w:r>
        <w:rPr>
          <w:rFonts w:hint="eastAsia" w:ascii="宋体" w:hAnsi="宋体"/>
          <w:bCs/>
          <w:color w:val="auto"/>
          <w:szCs w:val="21"/>
          <w:highlight w:val="none"/>
        </w:rPr>
        <w:t>（3）</w:t>
      </w:r>
      <w:r>
        <w:rPr>
          <w:rFonts w:ascii="宋体" w:hAnsi="宋体"/>
          <w:bCs/>
          <w:color w:val="auto"/>
          <w:szCs w:val="21"/>
          <w:highlight w:val="none"/>
        </w:rPr>
        <w:t>符</w:t>
      </w:r>
      <w:r>
        <w:rPr>
          <w:rFonts w:ascii="Calibri" w:hAnsi="宋体"/>
          <w:color w:val="auto"/>
          <w:szCs w:val="21"/>
          <w:highlight w:val="none"/>
        </w:rPr>
        <w:t>合性检查的结果是</w:t>
      </w:r>
      <w:r>
        <w:rPr>
          <w:rFonts w:ascii="Calibri" w:hAnsi="Calibri"/>
          <w:color w:val="auto"/>
          <w:szCs w:val="21"/>
          <w:highlight w:val="none"/>
        </w:rPr>
        <w:t>“</w:t>
      </w:r>
      <w:r>
        <w:rPr>
          <w:rFonts w:ascii="Calibri" w:hAnsi="宋体"/>
          <w:color w:val="auto"/>
          <w:szCs w:val="21"/>
          <w:highlight w:val="none"/>
        </w:rPr>
        <w:t>通过</w:t>
      </w:r>
      <w:r>
        <w:rPr>
          <w:rFonts w:ascii="Calibri" w:hAnsi="Calibri"/>
          <w:color w:val="auto"/>
          <w:szCs w:val="21"/>
          <w:highlight w:val="none"/>
        </w:rPr>
        <w:t>”</w:t>
      </w:r>
      <w:r>
        <w:rPr>
          <w:rFonts w:ascii="Calibri" w:hAnsi="宋体"/>
          <w:color w:val="auto"/>
          <w:szCs w:val="21"/>
          <w:highlight w:val="none"/>
        </w:rPr>
        <w:t>或</w:t>
      </w:r>
      <w:r>
        <w:rPr>
          <w:rFonts w:ascii="Calibri" w:hAnsi="Calibri"/>
          <w:color w:val="auto"/>
          <w:szCs w:val="21"/>
          <w:highlight w:val="none"/>
        </w:rPr>
        <w:t>“</w:t>
      </w:r>
      <w:r>
        <w:rPr>
          <w:rFonts w:ascii="Calibri" w:hAnsi="宋体"/>
          <w:color w:val="auto"/>
          <w:szCs w:val="21"/>
          <w:highlight w:val="none"/>
        </w:rPr>
        <w:t>不通过</w:t>
      </w:r>
      <w:r>
        <w:rPr>
          <w:rFonts w:ascii="Calibri" w:hAnsi="Calibri"/>
          <w:color w:val="auto"/>
          <w:szCs w:val="21"/>
          <w:highlight w:val="none"/>
        </w:rPr>
        <w:t>”</w:t>
      </w:r>
      <w:r>
        <w:rPr>
          <w:rFonts w:ascii="Calibri" w:hAnsi="宋体"/>
          <w:color w:val="auto"/>
          <w:szCs w:val="21"/>
          <w:highlight w:val="none"/>
        </w:rPr>
        <w:t>，只有逐条通过</w:t>
      </w:r>
      <w:r>
        <w:rPr>
          <w:rFonts w:ascii="宋体" w:hAnsi="宋体"/>
          <w:bCs/>
          <w:color w:val="auto"/>
          <w:szCs w:val="21"/>
          <w:highlight w:val="none"/>
        </w:rPr>
        <w:t>《符合性检查表》</w:t>
      </w:r>
      <w:r>
        <w:rPr>
          <w:rFonts w:ascii="Calibri" w:hAnsi="宋体"/>
          <w:color w:val="auto"/>
          <w:szCs w:val="21"/>
          <w:highlight w:val="none"/>
        </w:rPr>
        <w:t>各项检查的投标方能进入下一阶段的评标，否则将导致其投标被废标。</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b/>
          <w:color w:val="auto"/>
          <w:szCs w:val="21"/>
          <w:highlight w:val="none"/>
        </w:rPr>
      </w:pPr>
      <w:r>
        <w:rPr>
          <w:rFonts w:hint="eastAsia" w:ascii="宋体" w:hAnsi="宋体"/>
          <w:b/>
          <w:color w:val="auto"/>
          <w:szCs w:val="21"/>
          <w:highlight w:val="none"/>
        </w:rPr>
        <w:t>2、</w:t>
      </w:r>
      <w:r>
        <w:rPr>
          <w:rFonts w:ascii="宋体" w:hAnsi="宋体"/>
          <w:b/>
          <w:color w:val="auto"/>
          <w:szCs w:val="21"/>
          <w:highlight w:val="none"/>
        </w:rPr>
        <w:t>商务</w:t>
      </w:r>
      <w:r>
        <w:rPr>
          <w:rFonts w:hint="eastAsia" w:ascii="宋体" w:hAnsi="宋体"/>
          <w:b/>
          <w:color w:val="auto"/>
          <w:szCs w:val="21"/>
          <w:highlight w:val="none"/>
        </w:rPr>
        <w:t>、</w:t>
      </w:r>
      <w:r>
        <w:rPr>
          <w:rFonts w:ascii="宋体" w:hAnsi="宋体"/>
          <w:b/>
          <w:color w:val="auto"/>
          <w:szCs w:val="21"/>
          <w:highlight w:val="none"/>
        </w:rPr>
        <w:t>技术及价格评议</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评标委员会根据《</w:t>
      </w:r>
      <w:r>
        <w:rPr>
          <w:rFonts w:hint="eastAsia" w:ascii="宋体" w:hAnsi="宋体"/>
          <w:color w:val="auto"/>
          <w:szCs w:val="21"/>
          <w:highlight w:val="none"/>
        </w:rPr>
        <w:t>评分表</w:t>
      </w:r>
      <w:r>
        <w:rPr>
          <w:rFonts w:ascii="宋体" w:hAnsi="宋体"/>
          <w:color w:val="auto"/>
          <w:szCs w:val="21"/>
          <w:highlight w:val="none"/>
        </w:rPr>
        <w:t>》的内容和标准，对通过</w:t>
      </w:r>
      <w:r>
        <w:rPr>
          <w:rFonts w:hint="eastAsia" w:ascii="宋体" w:hAnsi="宋体"/>
          <w:bCs/>
          <w:color w:val="auto"/>
          <w:szCs w:val="21"/>
          <w:highlight w:val="none"/>
        </w:rPr>
        <w:t>资格性和</w:t>
      </w:r>
      <w:r>
        <w:rPr>
          <w:rFonts w:ascii="宋体" w:hAnsi="宋体"/>
          <w:bCs/>
          <w:color w:val="auto"/>
          <w:szCs w:val="21"/>
          <w:highlight w:val="none"/>
        </w:rPr>
        <w:t>符合性</w:t>
      </w:r>
      <w:r>
        <w:rPr>
          <w:rFonts w:ascii="宋体" w:hAnsi="宋体"/>
          <w:color w:val="auto"/>
          <w:szCs w:val="21"/>
          <w:highlight w:val="none"/>
        </w:rPr>
        <w:t>检查的投标进行商务</w:t>
      </w:r>
      <w:r>
        <w:rPr>
          <w:rFonts w:hint="eastAsia" w:ascii="宋体" w:hAnsi="宋体"/>
          <w:color w:val="auto"/>
          <w:szCs w:val="21"/>
          <w:highlight w:val="none"/>
        </w:rPr>
        <w:t>、</w:t>
      </w:r>
      <w:r>
        <w:rPr>
          <w:rFonts w:ascii="宋体" w:hAnsi="宋体"/>
          <w:color w:val="auto"/>
          <w:szCs w:val="21"/>
          <w:highlight w:val="none"/>
        </w:rPr>
        <w:t>技术</w:t>
      </w:r>
      <w:r>
        <w:rPr>
          <w:rFonts w:hint="eastAsia" w:ascii="宋体" w:hAnsi="宋体"/>
          <w:color w:val="auto"/>
          <w:szCs w:val="21"/>
          <w:highlight w:val="none"/>
        </w:rPr>
        <w:t>及价格</w:t>
      </w:r>
      <w:r>
        <w:rPr>
          <w:rFonts w:ascii="宋体" w:hAnsi="宋体"/>
          <w:color w:val="auto"/>
          <w:szCs w:val="21"/>
          <w:highlight w:val="none"/>
        </w:rPr>
        <w:t>评议。</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Calibri" w:hAnsi="Calibri"/>
          <w:color w:val="auto"/>
          <w:szCs w:val="21"/>
          <w:highlight w:val="none"/>
        </w:rPr>
      </w:pPr>
      <w:r>
        <w:rPr>
          <w:rFonts w:hint="eastAsia" w:ascii="宋体" w:hAnsi="宋体"/>
          <w:color w:val="auto"/>
          <w:szCs w:val="21"/>
          <w:highlight w:val="none"/>
        </w:rPr>
        <w:t>（2）</w:t>
      </w:r>
      <w:r>
        <w:rPr>
          <w:rFonts w:ascii="宋体" w:hAnsi="宋体"/>
          <w:color w:val="auto"/>
          <w:szCs w:val="21"/>
          <w:highlight w:val="none"/>
        </w:rPr>
        <w:t>评</w:t>
      </w:r>
      <w:r>
        <w:rPr>
          <w:rFonts w:ascii="Calibri" w:hAnsi="宋体"/>
          <w:color w:val="auto"/>
          <w:szCs w:val="21"/>
          <w:highlight w:val="none"/>
        </w:rPr>
        <w:t>标委员会将对照招标文件中的商务、技术需求条款和投标文件中的商务、技术条款响应进行评议</w:t>
      </w:r>
      <w:r>
        <w:rPr>
          <w:rFonts w:hint="eastAsia" w:ascii="Calibri" w:hAnsi="宋体"/>
          <w:color w:val="auto"/>
          <w:szCs w:val="21"/>
          <w:highlight w:val="none"/>
        </w:rPr>
        <w:t>；</w:t>
      </w:r>
      <w:r>
        <w:rPr>
          <w:rFonts w:ascii="Calibri" w:hAnsi="宋体"/>
          <w:color w:val="auto"/>
          <w:szCs w:val="21"/>
          <w:highlight w:val="none"/>
        </w:rPr>
        <w:t>评标委员会成员将按照《</w:t>
      </w:r>
      <w:r>
        <w:rPr>
          <w:rFonts w:hint="eastAsia" w:ascii="Calibri" w:hAnsi="宋体"/>
          <w:color w:val="auto"/>
          <w:szCs w:val="21"/>
          <w:highlight w:val="none"/>
        </w:rPr>
        <w:t>评分表</w:t>
      </w:r>
      <w:r>
        <w:rPr>
          <w:rFonts w:ascii="Calibri" w:hAnsi="宋体"/>
          <w:color w:val="auto"/>
          <w:szCs w:val="21"/>
          <w:highlight w:val="none"/>
        </w:rPr>
        <w:t>》确定的</w:t>
      </w:r>
      <w:r>
        <w:rPr>
          <w:rFonts w:hint="eastAsia" w:ascii="Calibri" w:hAnsi="宋体"/>
          <w:color w:val="auto"/>
          <w:szCs w:val="21"/>
          <w:highlight w:val="none"/>
        </w:rPr>
        <w:t>分值</w:t>
      </w:r>
      <w:r>
        <w:rPr>
          <w:rFonts w:ascii="Calibri" w:hAnsi="宋体"/>
          <w:color w:val="auto"/>
          <w:szCs w:val="21"/>
          <w:highlight w:val="none"/>
        </w:rPr>
        <w:t>独立对每个投标的商务</w:t>
      </w:r>
      <w:r>
        <w:rPr>
          <w:rFonts w:hint="eastAsia" w:ascii="Calibri" w:hAnsi="宋体"/>
          <w:color w:val="auto"/>
          <w:szCs w:val="21"/>
          <w:highlight w:val="none"/>
        </w:rPr>
        <w:t>、</w:t>
      </w:r>
      <w:r>
        <w:rPr>
          <w:rFonts w:ascii="Calibri" w:hAnsi="宋体"/>
          <w:color w:val="auto"/>
          <w:szCs w:val="21"/>
          <w:highlight w:val="none"/>
        </w:rPr>
        <w:t>技术</w:t>
      </w:r>
      <w:r>
        <w:rPr>
          <w:rFonts w:hint="eastAsia" w:ascii="Calibri" w:hAnsi="宋体"/>
          <w:color w:val="auto"/>
          <w:szCs w:val="21"/>
          <w:highlight w:val="none"/>
        </w:rPr>
        <w:t>及价格</w:t>
      </w:r>
      <w:r>
        <w:rPr>
          <w:rFonts w:ascii="Calibri" w:hAnsi="宋体"/>
          <w:color w:val="auto"/>
          <w:szCs w:val="21"/>
          <w:highlight w:val="none"/>
        </w:rPr>
        <w:t>部分以打分的方式进行评议。</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Calibri" w:hAnsi="Calibri"/>
          <w:b/>
          <w:color w:val="auto"/>
          <w:szCs w:val="21"/>
          <w:highlight w:val="none"/>
        </w:rPr>
      </w:pPr>
      <w:r>
        <w:rPr>
          <w:rFonts w:hint="eastAsia" w:ascii="宋体" w:hAnsi="宋体"/>
          <w:b/>
          <w:color w:val="auto"/>
          <w:szCs w:val="21"/>
          <w:highlight w:val="none"/>
        </w:rPr>
        <w:t>3、</w:t>
      </w:r>
      <w:r>
        <w:rPr>
          <w:rFonts w:ascii="Calibri" w:hAnsi="宋体"/>
          <w:b/>
          <w:color w:val="auto"/>
          <w:szCs w:val="21"/>
          <w:highlight w:val="none"/>
        </w:rPr>
        <w:t>中标</w:t>
      </w:r>
      <w:r>
        <w:rPr>
          <w:rFonts w:hint="eastAsia" w:ascii="Calibri" w:hAnsi="宋体"/>
          <w:b/>
          <w:color w:val="auto"/>
          <w:szCs w:val="21"/>
          <w:highlight w:val="none"/>
        </w:rPr>
        <w:t>单位</w:t>
      </w:r>
      <w:r>
        <w:rPr>
          <w:rFonts w:ascii="Calibri" w:hAnsi="宋体"/>
          <w:b/>
          <w:color w:val="auto"/>
          <w:szCs w:val="21"/>
          <w:highlight w:val="none"/>
        </w:rPr>
        <w:t>的确定</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b/>
          <w:color w:val="auto"/>
          <w:szCs w:val="21"/>
          <w:highlight w:val="none"/>
        </w:rPr>
      </w:pPr>
      <w:r>
        <w:rPr>
          <w:rFonts w:hint="eastAsia" w:ascii="宋体" w:hAnsi="宋体"/>
          <w:b/>
          <w:color w:val="auto"/>
          <w:szCs w:val="21"/>
          <w:highlight w:val="none"/>
        </w:rPr>
        <w:t xml:space="preserve">3.1  </w:t>
      </w:r>
      <w:r>
        <w:rPr>
          <w:rFonts w:hint="eastAsia" w:ascii="宋体" w:hAnsi="宋体"/>
          <w:b/>
          <w:bCs/>
          <w:color w:val="auto"/>
          <w:szCs w:val="21"/>
          <w:highlight w:val="none"/>
        </w:rPr>
        <w:t>候选中标供应商推荐</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bCs/>
          <w:color w:val="auto"/>
          <w:szCs w:val="21"/>
          <w:highlight w:val="none"/>
        </w:rPr>
      </w:pPr>
      <w:r>
        <w:rPr>
          <w:rFonts w:hint="eastAsia" w:ascii="宋体" w:hAnsi="宋体"/>
          <w:bCs/>
          <w:color w:val="auto"/>
          <w:szCs w:val="21"/>
          <w:highlight w:val="none"/>
        </w:rPr>
        <w:t>（1）每个投标单位的评标总得分以</w:t>
      </w:r>
      <w:r>
        <w:rPr>
          <w:rFonts w:hint="eastAsia" w:ascii="宋体" w:hAnsi="宋体"/>
          <w:color w:val="auto"/>
          <w:szCs w:val="21"/>
          <w:highlight w:val="none"/>
        </w:rPr>
        <w:t>所有评标委员会成员的独立评分汇总</w:t>
      </w:r>
      <w:r>
        <w:rPr>
          <w:rFonts w:hint="eastAsia" w:ascii="宋体" w:hAnsi="宋体"/>
          <w:bCs/>
          <w:color w:val="auto"/>
          <w:szCs w:val="21"/>
          <w:highlight w:val="none"/>
        </w:rPr>
        <w:t>后确定，</w:t>
      </w:r>
      <w:r>
        <w:rPr>
          <w:rFonts w:ascii="宋体" w:hAnsi="宋体"/>
          <w:bCs/>
          <w:color w:val="auto"/>
          <w:szCs w:val="21"/>
          <w:highlight w:val="none"/>
        </w:rPr>
        <w:t>评标总得分相同的，按投标报价由低到高顺序排列；评标总得分且投标报价相同的，按技术指标</w:t>
      </w:r>
      <w:r>
        <w:rPr>
          <w:rFonts w:hint="eastAsia" w:ascii="宋体" w:hAnsi="宋体"/>
          <w:bCs/>
          <w:color w:val="auto"/>
          <w:szCs w:val="21"/>
          <w:highlight w:val="none"/>
        </w:rPr>
        <w:t>（技术部分）</w:t>
      </w:r>
      <w:r>
        <w:rPr>
          <w:rFonts w:ascii="宋体" w:hAnsi="宋体"/>
          <w:bCs/>
          <w:color w:val="auto"/>
          <w:szCs w:val="21"/>
          <w:highlight w:val="none"/>
        </w:rPr>
        <w:t>得分优劣顺序排列</w:t>
      </w:r>
      <w:r>
        <w:rPr>
          <w:rFonts w:hint="eastAsia" w:ascii="Calibri" w:hAnsi="宋体"/>
          <w:color w:val="auto"/>
          <w:szCs w:val="21"/>
          <w:highlight w:val="none"/>
        </w:rPr>
        <w:t>；如</w:t>
      </w:r>
      <w:r>
        <w:rPr>
          <w:rFonts w:ascii="Calibri" w:hAnsi="宋体"/>
          <w:color w:val="auto"/>
          <w:szCs w:val="21"/>
          <w:highlight w:val="none"/>
        </w:rPr>
        <w:t>技术指标</w:t>
      </w:r>
      <w:r>
        <w:rPr>
          <w:rFonts w:hint="eastAsia" w:ascii="Calibri" w:hAnsi="宋体"/>
          <w:color w:val="auto"/>
          <w:szCs w:val="21"/>
          <w:highlight w:val="none"/>
        </w:rPr>
        <w:t>（技术部分）</w:t>
      </w:r>
      <w:r>
        <w:rPr>
          <w:rFonts w:ascii="Calibri" w:hAnsi="宋体"/>
          <w:color w:val="auto"/>
          <w:szCs w:val="21"/>
          <w:highlight w:val="none"/>
        </w:rPr>
        <w:t>得分</w:t>
      </w:r>
      <w:r>
        <w:rPr>
          <w:rFonts w:hint="eastAsia" w:ascii="Calibri" w:hAnsi="宋体"/>
          <w:color w:val="auto"/>
          <w:szCs w:val="21"/>
          <w:highlight w:val="none"/>
        </w:rPr>
        <w:t>仍然相同的，则采用抽签方式确定排序，</w:t>
      </w:r>
      <w:r>
        <w:rPr>
          <w:rFonts w:hint="eastAsia" w:asciiTheme="minorEastAsia" w:hAnsiTheme="minorEastAsia" w:eastAsiaTheme="minorEastAsia"/>
          <w:color w:val="auto"/>
          <w:szCs w:val="21"/>
          <w:highlight w:val="none"/>
        </w:rPr>
        <w:t>具体操作办法及流程由评标委员会确定</w:t>
      </w:r>
      <w:r>
        <w:rPr>
          <w:rFonts w:ascii="宋体" w:hAnsi="宋体"/>
          <w:bCs/>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color w:val="auto"/>
          <w:szCs w:val="21"/>
          <w:highlight w:val="none"/>
        </w:rPr>
      </w:pPr>
      <w:r>
        <w:rPr>
          <w:rFonts w:hint="eastAsia" w:ascii="宋体" w:hAnsi="宋体"/>
          <w:bCs/>
          <w:color w:val="auto"/>
          <w:szCs w:val="21"/>
          <w:highlight w:val="none"/>
        </w:rPr>
        <w:t>（2）评标委员会按照综合评分的排名结果推荐中标候选供应商，</w:t>
      </w:r>
      <w:r>
        <w:rPr>
          <w:rFonts w:hint="eastAsia" w:ascii="宋体" w:hAnsi="宋体"/>
          <w:color w:val="auto"/>
          <w:szCs w:val="21"/>
          <w:highlight w:val="none"/>
        </w:rPr>
        <w:t>排名前三的投标单位</w:t>
      </w:r>
      <w:r>
        <w:rPr>
          <w:rFonts w:hint="eastAsia" w:ascii="宋体" w:hAnsi="宋体"/>
          <w:bCs/>
          <w:color w:val="auto"/>
          <w:szCs w:val="21"/>
          <w:highlight w:val="none"/>
        </w:rPr>
        <w:t>作为推荐的候选中标供应商（排名不分先后）。</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b/>
          <w:bCs/>
          <w:color w:val="auto"/>
          <w:szCs w:val="21"/>
          <w:highlight w:val="none"/>
        </w:rPr>
      </w:pPr>
      <w:r>
        <w:rPr>
          <w:rFonts w:hint="eastAsia" w:ascii="宋体" w:hAnsi="宋体"/>
          <w:b/>
          <w:bCs/>
          <w:color w:val="auto"/>
          <w:szCs w:val="21"/>
          <w:highlight w:val="none"/>
        </w:rPr>
        <w:t>3.2  定标</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bCs/>
          <w:color w:val="auto"/>
          <w:szCs w:val="21"/>
          <w:highlight w:val="none"/>
        </w:rPr>
      </w:pPr>
      <w:r>
        <w:rPr>
          <w:rFonts w:hint="eastAsia" w:ascii="宋体" w:hAnsi="宋体"/>
          <w:bCs/>
          <w:color w:val="auto"/>
          <w:szCs w:val="21"/>
          <w:highlight w:val="none"/>
        </w:rPr>
        <w:t>采购单位从评标委员会推荐的候选中标供应商中，</w:t>
      </w:r>
      <w:r>
        <w:rPr>
          <w:rFonts w:ascii="宋体" w:hAnsi="宋体"/>
          <w:bCs/>
          <w:color w:val="auto"/>
          <w:szCs w:val="21"/>
          <w:highlight w:val="none"/>
        </w:rPr>
        <w:t>采用</w:t>
      </w:r>
      <w:r>
        <w:rPr>
          <w:rFonts w:ascii="宋体" w:hAnsi="宋体"/>
          <w:b/>
          <w:bCs/>
          <w:color w:val="auto"/>
          <w:szCs w:val="21"/>
          <w:highlight w:val="none"/>
        </w:rPr>
        <w:t>自定法</w:t>
      </w:r>
      <w:r>
        <w:rPr>
          <w:rFonts w:hint="eastAsia" w:ascii="宋体" w:hAnsi="宋体"/>
          <w:bCs/>
          <w:color w:val="auto"/>
          <w:szCs w:val="21"/>
          <w:highlight w:val="none"/>
        </w:rPr>
        <w:t>自行选择确定一名中标单位，具体操作程序按照《深圳市政府采购评标定标分离管理办法》要求执行。</w:t>
      </w:r>
    </w:p>
    <w:p>
      <w:pPr>
        <w:keepNext w:val="0"/>
        <w:keepLines w:val="0"/>
        <w:pageBreakBefore w:val="0"/>
        <w:widowControl w:val="0"/>
        <w:kinsoku/>
        <w:wordWrap/>
        <w:overflowPunct/>
        <w:topLinePunct w:val="0"/>
        <w:autoSpaceDE/>
        <w:autoSpaceDN/>
        <w:bidi w:val="0"/>
        <w:adjustRightInd/>
        <w:snapToGrid/>
        <w:spacing w:line="440" w:lineRule="exact"/>
        <w:ind w:firstLine="386" w:firstLineChars="183"/>
        <w:textAlignment w:val="auto"/>
        <w:rPr>
          <w:rFonts w:ascii="宋体" w:hAnsi="宋体"/>
          <w:b/>
          <w:color w:val="auto"/>
          <w:szCs w:val="21"/>
          <w:highlight w:val="none"/>
        </w:rPr>
      </w:pPr>
      <w:r>
        <w:rPr>
          <w:rFonts w:hint="eastAsia" w:ascii="宋体" w:hAnsi="宋体"/>
          <w:b/>
          <w:color w:val="auto"/>
          <w:szCs w:val="21"/>
          <w:highlight w:val="none"/>
        </w:rPr>
        <w:t>4、质疑投诉处理：</w:t>
      </w:r>
      <w:r>
        <w:rPr>
          <w:rFonts w:hint="eastAsia" w:ascii="宋体" w:hAnsi="宋体"/>
          <w:color w:val="auto"/>
          <w:szCs w:val="21"/>
          <w:highlight w:val="none"/>
        </w:rPr>
        <w:t>确定中标单位后出现质疑投诉的，按照以下程序进行处理：（1）中标单位因质疑、投诉等问题被取消或</w:t>
      </w:r>
      <w:r>
        <w:rPr>
          <w:rFonts w:ascii="宋体" w:hAnsi="宋体"/>
          <w:color w:val="auto"/>
          <w:szCs w:val="21"/>
          <w:highlight w:val="none"/>
        </w:rPr>
        <w:t>放弃</w:t>
      </w:r>
      <w:r>
        <w:rPr>
          <w:rFonts w:hint="eastAsia" w:ascii="宋体" w:hAnsi="宋体"/>
          <w:color w:val="auto"/>
          <w:szCs w:val="21"/>
          <w:highlight w:val="none"/>
        </w:rPr>
        <w:t>候选中标资格，候选</w:t>
      </w:r>
      <w:r>
        <w:rPr>
          <w:rFonts w:ascii="宋体" w:hAnsi="宋体"/>
          <w:color w:val="auto"/>
          <w:szCs w:val="21"/>
          <w:highlight w:val="none"/>
        </w:rPr>
        <w:t>中标</w:t>
      </w:r>
      <w:r>
        <w:rPr>
          <w:rFonts w:hint="eastAsia" w:ascii="宋体" w:hAnsi="宋体"/>
          <w:color w:val="auto"/>
          <w:szCs w:val="21"/>
          <w:highlight w:val="none"/>
        </w:rPr>
        <w:t>供应商</w:t>
      </w:r>
      <w:r>
        <w:rPr>
          <w:rFonts w:ascii="宋体" w:hAnsi="宋体"/>
          <w:color w:val="auto"/>
          <w:szCs w:val="21"/>
          <w:highlight w:val="none"/>
        </w:rPr>
        <w:t>不再</w:t>
      </w:r>
      <w:r>
        <w:rPr>
          <w:rFonts w:hint="eastAsia" w:ascii="宋体" w:hAnsi="宋体"/>
          <w:color w:val="auto"/>
          <w:szCs w:val="21"/>
          <w:highlight w:val="none"/>
        </w:rPr>
        <w:t>替补</w:t>
      </w:r>
      <w:r>
        <w:rPr>
          <w:rFonts w:ascii="宋体" w:hAnsi="宋体"/>
          <w:color w:val="auto"/>
          <w:szCs w:val="21"/>
          <w:highlight w:val="none"/>
        </w:rPr>
        <w:t>，</w:t>
      </w:r>
      <w:r>
        <w:rPr>
          <w:rFonts w:hint="eastAsia" w:ascii="宋体" w:hAnsi="宋体"/>
          <w:color w:val="auto"/>
          <w:szCs w:val="21"/>
          <w:highlight w:val="none"/>
        </w:rPr>
        <w:t>如有效</w:t>
      </w:r>
      <w:r>
        <w:rPr>
          <w:rFonts w:ascii="宋体" w:hAnsi="宋体"/>
          <w:color w:val="auto"/>
          <w:szCs w:val="21"/>
          <w:highlight w:val="none"/>
        </w:rPr>
        <w:t>投标</w:t>
      </w:r>
      <w:r>
        <w:rPr>
          <w:rFonts w:hint="eastAsia" w:ascii="宋体" w:hAnsi="宋体"/>
          <w:color w:val="auto"/>
          <w:szCs w:val="21"/>
          <w:highlight w:val="none"/>
        </w:rPr>
        <w:t>供应商满足</w:t>
      </w:r>
      <w:r>
        <w:rPr>
          <w:rFonts w:ascii="宋体" w:hAnsi="宋体"/>
          <w:color w:val="auto"/>
          <w:szCs w:val="21"/>
          <w:highlight w:val="none"/>
        </w:rPr>
        <w:t>法定数量</w:t>
      </w:r>
      <w:r>
        <w:rPr>
          <w:rFonts w:hint="eastAsia" w:ascii="宋体" w:hAnsi="宋体"/>
          <w:color w:val="auto"/>
          <w:szCs w:val="21"/>
          <w:highlight w:val="none"/>
        </w:rPr>
        <w:t>，可按</w:t>
      </w:r>
      <w:r>
        <w:rPr>
          <w:rFonts w:ascii="宋体" w:hAnsi="宋体"/>
          <w:color w:val="auto"/>
          <w:szCs w:val="21"/>
          <w:highlight w:val="none"/>
        </w:rPr>
        <w:t>相关规定</w:t>
      </w:r>
      <w:r>
        <w:rPr>
          <w:rFonts w:hint="eastAsia" w:ascii="宋体" w:hAnsi="宋体"/>
          <w:color w:val="auto"/>
          <w:szCs w:val="21"/>
          <w:highlight w:val="none"/>
        </w:rPr>
        <w:t>在</w:t>
      </w:r>
      <w:r>
        <w:rPr>
          <w:rFonts w:ascii="宋体" w:hAnsi="宋体"/>
          <w:color w:val="auto"/>
          <w:szCs w:val="21"/>
          <w:highlight w:val="none"/>
        </w:rPr>
        <w:t>其他</w:t>
      </w:r>
      <w:r>
        <w:rPr>
          <w:rFonts w:hint="eastAsia" w:ascii="宋体" w:hAnsi="宋体"/>
          <w:color w:val="auto"/>
          <w:szCs w:val="21"/>
          <w:highlight w:val="none"/>
        </w:rPr>
        <w:t>候选</w:t>
      </w:r>
      <w:r>
        <w:rPr>
          <w:rFonts w:ascii="宋体" w:hAnsi="宋体"/>
          <w:color w:val="auto"/>
          <w:szCs w:val="21"/>
          <w:highlight w:val="none"/>
        </w:rPr>
        <w:t>中标</w:t>
      </w:r>
      <w:r>
        <w:rPr>
          <w:rFonts w:hint="eastAsia" w:ascii="宋体" w:hAnsi="宋体"/>
          <w:color w:val="auto"/>
          <w:szCs w:val="21"/>
          <w:highlight w:val="none"/>
        </w:rPr>
        <w:t>供应商中另行</w:t>
      </w:r>
      <w:r>
        <w:rPr>
          <w:rFonts w:ascii="宋体" w:hAnsi="宋体"/>
          <w:color w:val="auto"/>
          <w:szCs w:val="21"/>
          <w:highlight w:val="none"/>
        </w:rPr>
        <w:t>确定中标</w:t>
      </w:r>
      <w:r>
        <w:rPr>
          <w:rFonts w:hint="eastAsia" w:ascii="宋体" w:hAnsi="宋体"/>
          <w:color w:val="auto"/>
          <w:szCs w:val="21"/>
          <w:highlight w:val="none"/>
        </w:rPr>
        <w:t>单位</w:t>
      </w:r>
      <w:r>
        <w:rPr>
          <w:rFonts w:ascii="宋体" w:hAnsi="宋体"/>
          <w:color w:val="auto"/>
          <w:szCs w:val="21"/>
          <w:highlight w:val="none"/>
        </w:rPr>
        <w:t>，或者</w:t>
      </w:r>
      <w:r>
        <w:rPr>
          <w:rFonts w:hint="eastAsia" w:ascii="宋体" w:hAnsi="宋体"/>
          <w:color w:val="auto"/>
          <w:szCs w:val="21"/>
          <w:highlight w:val="none"/>
        </w:rPr>
        <w:t>重新组织招标；（2）候选中标供应商因质疑、投诉等问题被取消候选中标资格，如有效</w:t>
      </w:r>
      <w:r>
        <w:rPr>
          <w:rFonts w:ascii="宋体" w:hAnsi="宋体"/>
          <w:color w:val="auto"/>
          <w:szCs w:val="21"/>
          <w:highlight w:val="none"/>
        </w:rPr>
        <w:t>投标</w:t>
      </w:r>
      <w:r>
        <w:rPr>
          <w:rFonts w:hint="eastAsia" w:ascii="宋体" w:hAnsi="宋体"/>
          <w:color w:val="auto"/>
          <w:szCs w:val="21"/>
          <w:highlight w:val="none"/>
        </w:rPr>
        <w:t>供应商满足</w:t>
      </w:r>
      <w:r>
        <w:rPr>
          <w:rFonts w:ascii="宋体" w:hAnsi="宋体"/>
          <w:color w:val="auto"/>
          <w:szCs w:val="21"/>
          <w:highlight w:val="none"/>
        </w:rPr>
        <w:t>法定数量</w:t>
      </w:r>
      <w:r>
        <w:rPr>
          <w:rFonts w:hint="eastAsia" w:ascii="宋体" w:hAnsi="宋体"/>
          <w:color w:val="auto"/>
          <w:szCs w:val="21"/>
          <w:highlight w:val="none"/>
        </w:rPr>
        <w:t>，则维持原中标结果；如有效</w:t>
      </w:r>
      <w:r>
        <w:rPr>
          <w:rFonts w:ascii="宋体" w:hAnsi="宋体"/>
          <w:color w:val="auto"/>
          <w:szCs w:val="21"/>
          <w:highlight w:val="none"/>
        </w:rPr>
        <w:t>投标</w:t>
      </w:r>
      <w:r>
        <w:rPr>
          <w:rFonts w:hint="eastAsia" w:ascii="宋体" w:hAnsi="宋体"/>
          <w:color w:val="auto"/>
          <w:szCs w:val="21"/>
          <w:highlight w:val="none"/>
        </w:rPr>
        <w:t>供应商不足</w:t>
      </w:r>
      <w:r>
        <w:rPr>
          <w:rFonts w:ascii="宋体" w:hAnsi="宋体"/>
          <w:color w:val="auto"/>
          <w:szCs w:val="21"/>
          <w:highlight w:val="none"/>
        </w:rPr>
        <w:t>法定数量</w:t>
      </w:r>
      <w:r>
        <w:rPr>
          <w:rFonts w:hint="eastAsia" w:ascii="宋体" w:hAnsi="宋体"/>
          <w:color w:val="auto"/>
          <w:szCs w:val="21"/>
          <w:highlight w:val="none"/>
        </w:rPr>
        <w:t>，则该项目作废标处理，重新组织招标。</w:t>
      </w:r>
    </w:p>
    <w:p>
      <w:bookmarkStart w:id="10" w:name="_GoBack"/>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582DE7"/>
    <w:multiLevelType w:val="singleLevel"/>
    <w:tmpl w:val="90582DE7"/>
    <w:lvl w:ilvl="0" w:tentative="0">
      <w:start w:val="1"/>
      <w:numFmt w:val="decimal"/>
      <w:lvlText w:val="%1."/>
      <w:lvlJc w:val="left"/>
      <w:pPr>
        <w:ind w:left="425" w:hanging="425"/>
      </w:pPr>
      <w:rPr>
        <w:rFonts w:hint="default"/>
      </w:rPr>
    </w:lvl>
  </w:abstractNum>
  <w:abstractNum w:abstractNumId="1">
    <w:nsid w:val="C271A5FA"/>
    <w:multiLevelType w:val="singleLevel"/>
    <w:tmpl w:val="C271A5FA"/>
    <w:lvl w:ilvl="0" w:tentative="0">
      <w:start w:val="2"/>
      <w:numFmt w:val="decimal"/>
      <w:lvlText w:val="%1."/>
      <w:lvlJc w:val="left"/>
      <w:pPr>
        <w:tabs>
          <w:tab w:val="left" w:pos="312"/>
        </w:tabs>
      </w:pPr>
    </w:lvl>
  </w:abstractNum>
  <w:abstractNum w:abstractNumId="2">
    <w:nsid w:val="EE44DC78"/>
    <w:multiLevelType w:val="singleLevel"/>
    <w:tmpl w:val="EE44DC78"/>
    <w:lvl w:ilvl="0" w:tentative="0">
      <w:start w:val="1"/>
      <w:numFmt w:val="chineseCounting"/>
      <w:suff w:val="nothing"/>
      <w:lvlText w:val="（%1）"/>
      <w:lvlJc w:val="left"/>
      <w:rPr>
        <w:rFonts w:hint="eastAsia"/>
      </w:rPr>
    </w:lvl>
  </w:abstractNum>
  <w:abstractNum w:abstractNumId="3">
    <w:nsid w:val="2A8A216A"/>
    <w:multiLevelType w:val="multilevel"/>
    <w:tmpl w:val="2A8A216A"/>
    <w:lvl w:ilvl="0" w:tentative="0">
      <w:start w:val="1"/>
      <w:numFmt w:val="bullet"/>
      <w:lvlText w:val=""/>
      <w:lvlJc w:val="left"/>
      <w:pPr>
        <w:ind w:left="842" w:hanging="420"/>
      </w:pPr>
      <w:rPr>
        <w:rFonts w:hint="default" w:ascii="Wingdings" w:hAnsi="Wingdings"/>
      </w:rPr>
    </w:lvl>
    <w:lvl w:ilvl="1" w:tentative="0">
      <w:start w:val="1"/>
      <w:numFmt w:val="bullet"/>
      <w:lvlText w:val=""/>
      <w:lvlJc w:val="left"/>
      <w:pPr>
        <w:ind w:left="1262" w:hanging="420"/>
      </w:pPr>
      <w:rPr>
        <w:rFonts w:hint="default" w:ascii="Wingdings" w:hAnsi="Wingdings"/>
      </w:rPr>
    </w:lvl>
    <w:lvl w:ilvl="2" w:tentative="0">
      <w:start w:val="1"/>
      <w:numFmt w:val="bullet"/>
      <w:lvlText w:val=""/>
      <w:lvlJc w:val="left"/>
      <w:pPr>
        <w:ind w:left="1682" w:hanging="420"/>
      </w:pPr>
      <w:rPr>
        <w:rFonts w:hint="default" w:ascii="Wingdings" w:hAnsi="Wingdings"/>
      </w:rPr>
    </w:lvl>
    <w:lvl w:ilvl="3" w:tentative="0">
      <w:start w:val="1"/>
      <w:numFmt w:val="bullet"/>
      <w:lvlText w:val=""/>
      <w:lvlJc w:val="left"/>
      <w:pPr>
        <w:ind w:left="2102" w:hanging="420"/>
      </w:pPr>
      <w:rPr>
        <w:rFonts w:hint="default" w:ascii="Wingdings" w:hAnsi="Wingdings"/>
      </w:rPr>
    </w:lvl>
    <w:lvl w:ilvl="4" w:tentative="0">
      <w:start w:val="1"/>
      <w:numFmt w:val="bullet"/>
      <w:lvlText w:val=""/>
      <w:lvlJc w:val="left"/>
      <w:pPr>
        <w:ind w:left="2522" w:hanging="420"/>
      </w:pPr>
      <w:rPr>
        <w:rFonts w:hint="default" w:ascii="Wingdings" w:hAnsi="Wingdings"/>
      </w:rPr>
    </w:lvl>
    <w:lvl w:ilvl="5" w:tentative="0">
      <w:start w:val="1"/>
      <w:numFmt w:val="bullet"/>
      <w:lvlText w:val=""/>
      <w:lvlJc w:val="left"/>
      <w:pPr>
        <w:ind w:left="2942" w:hanging="420"/>
      </w:pPr>
      <w:rPr>
        <w:rFonts w:hint="default" w:ascii="Wingdings" w:hAnsi="Wingdings"/>
      </w:rPr>
    </w:lvl>
    <w:lvl w:ilvl="6" w:tentative="0">
      <w:start w:val="1"/>
      <w:numFmt w:val="bullet"/>
      <w:lvlText w:val=""/>
      <w:lvlJc w:val="left"/>
      <w:pPr>
        <w:ind w:left="3362" w:hanging="420"/>
      </w:pPr>
      <w:rPr>
        <w:rFonts w:hint="default" w:ascii="Wingdings" w:hAnsi="Wingdings"/>
      </w:rPr>
    </w:lvl>
    <w:lvl w:ilvl="7" w:tentative="0">
      <w:start w:val="1"/>
      <w:numFmt w:val="bullet"/>
      <w:lvlText w:val=""/>
      <w:lvlJc w:val="left"/>
      <w:pPr>
        <w:ind w:left="3782" w:hanging="420"/>
      </w:pPr>
      <w:rPr>
        <w:rFonts w:hint="default" w:ascii="Wingdings" w:hAnsi="Wingdings"/>
      </w:rPr>
    </w:lvl>
    <w:lvl w:ilvl="8" w:tentative="0">
      <w:start w:val="1"/>
      <w:numFmt w:val="bullet"/>
      <w:lvlText w:val=""/>
      <w:lvlJc w:val="left"/>
      <w:pPr>
        <w:ind w:left="4202" w:hanging="420"/>
      </w:pPr>
      <w:rPr>
        <w:rFonts w:hint="default" w:ascii="Wingdings" w:hAnsi="Wingdings"/>
      </w:rPr>
    </w:lvl>
  </w:abstractNum>
  <w:abstractNum w:abstractNumId="4">
    <w:nsid w:val="2BFD9B82"/>
    <w:multiLevelType w:val="singleLevel"/>
    <w:tmpl w:val="2BFD9B82"/>
    <w:lvl w:ilvl="0" w:tentative="0">
      <w:start w:val="1"/>
      <w:numFmt w:val="decimal"/>
      <w:lvlText w:val="%1."/>
      <w:lvlJc w:val="left"/>
      <w:pPr>
        <w:ind w:left="425" w:hanging="425"/>
      </w:pPr>
      <w:rPr>
        <w:rFonts w:hint="default"/>
      </w:rPr>
    </w:lvl>
  </w:abstractNum>
  <w:abstractNum w:abstractNumId="5">
    <w:nsid w:val="3BDC2444"/>
    <w:multiLevelType w:val="multilevel"/>
    <w:tmpl w:val="3BDC244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7847796"/>
    <w:multiLevelType w:val="singleLevel"/>
    <w:tmpl w:val="67847796"/>
    <w:lvl w:ilvl="0" w:tentative="0">
      <w:start w:val="1"/>
      <w:numFmt w:val="chineseCounting"/>
      <w:suff w:val="nothing"/>
      <w:lvlText w:val="（%1）"/>
      <w:lvlJc w:val="left"/>
      <w:rPr>
        <w:rFonts w:hint="eastAsia"/>
      </w:rPr>
    </w:lvl>
  </w:abstractNum>
  <w:num w:numId="1">
    <w:abstractNumId w:val="5"/>
  </w:num>
  <w:num w:numId="2">
    <w:abstractNumId w:val="0"/>
  </w:num>
  <w:num w:numId="3">
    <w:abstractNumId w:val="2"/>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A8391F"/>
    <w:rsid w:val="63A83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3">
    <w:name w:val="header"/>
    <w:basedOn w:val="1"/>
    <w:qFormat/>
    <w:uiPriority w:val="0"/>
    <w:pPr>
      <w:pBdr>
        <w:bottom w:val="single" w:color="auto" w:sz="6" w:space="1"/>
      </w:pBdr>
      <w:tabs>
        <w:tab w:val="center" w:pos="4153"/>
        <w:tab w:val="right" w:pos="8306"/>
      </w:tabs>
      <w:autoSpaceDE w:val="0"/>
      <w:autoSpaceDN w:val="0"/>
      <w:adjustRightInd w:val="0"/>
      <w:jc w:val="center"/>
      <w:textAlignment w:val="baseline"/>
    </w:pPr>
    <w:rPr>
      <w:rFonts w:ascii="宋体"/>
      <w:kern w:val="0"/>
      <w:sz w:val="18"/>
    </w:rPr>
  </w:style>
  <w:style w:type="table" w:styleId="5">
    <w:name w:val="Table Grid"/>
    <w:basedOn w:val="4"/>
    <w:qFormat/>
    <w:uiPriority w:val="0"/>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7">
    <w:name w:val="Emphasis"/>
    <w:basedOn w:val="6"/>
    <w:qFormat/>
    <w:uiPriority w:val="0"/>
    <w:rPr>
      <w:i/>
    </w:rPr>
  </w:style>
  <w:style w:type="paragraph" w:styleId="8">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2021-11-29T10:10:00Z</dcterms:created>
  <dc:creator>王文乐</dc:creator>
  <cp:lastModifiedBy>王文乐</cp:lastModifiedBy>
  <dcterms:modified xsi:type="dcterms:W3CDTF">2021-11-29T10:10:56Z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